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5E99" w:rsidRDefault="00185E99">
      <w:pPr>
        <w:pStyle w:val="PargrafodaLista"/>
        <w:rPr>
          <w:b/>
          <w:szCs w:val="24"/>
        </w:rPr>
      </w:pPr>
    </w:p>
    <w:p w:rsidR="00185E99" w:rsidRDefault="00185E99">
      <w:pPr>
        <w:pStyle w:val="PargrafodaLista"/>
        <w:rPr>
          <w:b/>
          <w:szCs w:val="24"/>
        </w:rPr>
      </w:pPr>
    </w:p>
    <w:p w:rsidR="00185E99" w:rsidRDefault="00185E99">
      <w:pPr>
        <w:tabs>
          <w:tab w:val="left" w:pos="765"/>
        </w:tabs>
        <w:jc w:val="center"/>
        <w:rPr>
          <w:b/>
          <w:sz w:val="28"/>
          <w:szCs w:val="28"/>
          <w:u w:val="single"/>
        </w:rPr>
      </w:pPr>
      <w:r>
        <w:rPr>
          <w:b/>
          <w:sz w:val="32"/>
          <w:szCs w:val="32"/>
          <w:u w:val="single"/>
        </w:rPr>
        <w:t>TERMO DE REFERÊNCIA</w:t>
      </w:r>
    </w:p>
    <w:p w:rsidR="00185E99" w:rsidRDefault="00185E99">
      <w:pPr>
        <w:tabs>
          <w:tab w:val="left" w:pos="765"/>
        </w:tabs>
        <w:rPr>
          <w:b/>
          <w:sz w:val="28"/>
          <w:szCs w:val="28"/>
          <w:u w:val="single"/>
        </w:rPr>
      </w:pPr>
    </w:p>
    <w:p w:rsidR="00185E99" w:rsidRDefault="00185E99">
      <w:pPr>
        <w:tabs>
          <w:tab w:val="left" w:pos="765"/>
        </w:tabs>
        <w:rPr>
          <w:b/>
          <w:sz w:val="28"/>
          <w:szCs w:val="28"/>
          <w:u w:val="single"/>
        </w:rPr>
      </w:pPr>
    </w:p>
    <w:p w:rsidR="00185E99" w:rsidRDefault="00185E99">
      <w:pPr>
        <w:tabs>
          <w:tab w:val="left" w:pos="765"/>
        </w:tabs>
        <w:spacing w:line="360" w:lineRule="auto"/>
        <w:jc w:val="both"/>
      </w:pPr>
      <w:r>
        <w:tab/>
      </w:r>
      <w:r>
        <w:tab/>
        <w:t>Encaminhamos o presente TERMO DE REFERÊNCIA que versa sobre a obra a ser contratada e para o qual</w:t>
      </w:r>
      <w:r>
        <w:rPr>
          <w:b/>
          <w:bCs/>
        </w:rPr>
        <w:t xml:space="preserve"> solicitamos a inclusão no EDITAL de licitação:</w:t>
      </w:r>
    </w:p>
    <w:p w:rsidR="00185E99" w:rsidRDefault="00185E99">
      <w:pPr>
        <w:tabs>
          <w:tab w:val="left" w:pos="765"/>
        </w:tabs>
        <w:spacing w:line="360" w:lineRule="auto"/>
        <w:jc w:val="both"/>
      </w:pPr>
    </w:p>
    <w:p w:rsidR="00185E99" w:rsidRDefault="00185E99">
      <w:pPr>
        <w:tabs>
          <w:tab w:val="left" w:pos="765"/>
        </w:tabs>
        <w:spacing w:line="360" w:lineRule="auto"/>
        <w:jc w:val="both"/>
      </w:pPr>
    </w:p>
    <w:p w:rsidR="00185E99" w:rsidRDefault="00185E99">
      <w:pPr>
        <w:tabs>
          <w:tab w:val="left" w:pos="765"/>
        </w:tabs>
        <w:spacing w:line="360" w:lineRule="auto"/>
        <w:jc w:val="center"/>
        <w:rPr>
          <w:b/>
          <w:sz w:val="28"/>
          <w:szCs w:val="28"/>
          <w:u w:val="single"/>
        </w:rPr>
      </w:pPr>
      <w:r>
        <w:rPr>
          <w:b/>
          <w:sz w:val="28"/>
          <w:szCs w:val="28"/>
          <w:u w:val="single"/>
        </w:rPr>
        <w:t xml:space="preserve">Objeto a contratar: </w:t>
      </w:r>
    </w:p>
    <w:p w:rsidR="00185E99" w:rsidRDefault="00185E99">
      <w:pPr>
        <w:tabs>
          <w:tab w:val="left" w:pos="765"/>
        </w:tabs>
        <w:spacing w:line="360" w:lineRule="auto"/>
        <w:jc w:val="both"/>
        <w:rPr>
          <w:b/>
          <w:sz w:val="28"/>
          <w:szCs w:val="28"/>
          <w:u w:val="single"/>
        </w:rPr>
      </w:pPr>
    </w:p>
    <w:p w:rsidR="00185E99" w:rsidRDefault="0034711E" w:rsidP="2BBEE13A">
      <w:pPr>
        <w:tabs>
          <w:tab w:val="left" w:pos="765"/>
        </w:tabs>
        <w:spacing w:line="360" w:lineRule="auto"/>
        <w:jc w:val="both"/>
        <w:rPr>
          <w:b/>
          <w:bCs/>
        </w:rPr>
      </w:pPr>
      <w:r w:rsidRPr="2BBEE13A">
        <w:rPr>
          <w:b/>
          <w:bCs/>
        </w:rPr>
        <w:t>REFORMA DO</w:t>
      </w:r>
      <w:r w:rsidR="2BBEE13A" w:rsidRPr="2BBEE13A">
        <w:rPr>
          <w:b/>
          <w:bCs/>
        </w:rPr>
        <w:t xml:space="preserve"> CENTRO DE ARTES DE NOVA FRIBURGO – NOVA FRIBURGO – RJ </w:t>
      </w:r>
    </w:p>
    <w:p w:rsidR="00003191" w:rsidRDefault="00003191">
      <w:pPr>
        <w:tabs>
          <w:tab w:val="left" w:pos="765"/>
        </w:tabs>
        <w:spacing w:line="360" w:lineRule="auto"/>
        <w:jc w:val="both"/>
        <w:rPr>
          <w:b/>
          <w:bCs/>
          <w:szCs w:val="24"/>
        </w:rPr>
      </w:pPr>
    </w:p>
    <w:p w:rsidR="00185E99" w:rsidRDefault="00185E99">
      <w:pPr>
        <w:tabs>
          <w:tab w:val="left" w:pos="765"/>
        </w:tabs>
        <w:spacing w:line="360" w:lineRule="auto"/>
        <w:jc w:val="center"/>
        <w:rPr>
          <w:b/>
          <w:sz w:val="28"/>
          <w:szCs w:val="28"/>
          <w:u w:val="single"/>
        </w:rPr>
      </w:pPr>
      <w:r>
        <w:rPr>
          <w:b/>
          <w:sz w:val="28"/>
          <w:szCs w:val="28"/>
          <w:u w:val="single"/>
        </w:rPr>
        <w:t>Objetivo para a contratação:</w:t>
      </w:r>
    </w:p>
    <w:p w:rsidR="00185E99" w:rsidRDefault="00185E99">
      <w:pPr>
        <w:spacing w:line="360" w:lineRule="auto"/>
        <w:jc w:val="both"/>
        <w:rPr>
          <w:b/>
          <w:sz w:val="28"/>
          <w:szCs w:val="28"/>
          <w:u w:val="single"/>
        </w:rPr>
      </w:pPr>
    </w:p>
    <w:p w:rsidR="00185E99" w:rsidRDefault="00185E99">
      <w:pPr>
        <w:spacing w:line="360" w:lineRule="auto"/>
        <w:jc w:val="both"/>
      </w:pPr>
      <w:r>
        <w:tab/>
        <w:t>Os benefícios resultantes da re</w:t>
      </w:r>
      <w:r w:rsidR="00003191">
        <w:t>forma</w:t>
      </w:r>
      <w:r w:rsidR="00A80E6A">
        <w:t xml:space="preserve"> do Centro de Artes</w:t>
      </w:r>
      <w:r w:rsidR="00382B07">
        <w:t>de Nova Friburgo p</w:t>
      </w:r>
      <w:r>
        <w:t>odem ser descritos como essenciais</w:t>
      </w:r>
      <w:r w:rsidR="00382B07">
        <w:t>,</w:t>
      </w:r>
      <w:r>
        <w:t xml:space="preserve"> sendo que todos osusuários serão beneficiados, pode</w:t>
      </w:r>
      <w:r w:rsidR="00003191">
        <w:t xml:space="preserve">ndo </w:t>
      </w:r>
      <w:r w:rsidR="00382B07">
        <w:t>usufruirdeambientes</w:t>
      </w:r>
      <w:r w:rsidR="00003191">
        <w:t xml:space="preserve"> livre</w:t>
      </w:r>
      <w:r w:rsidR="00382B07">
        <w:t>s</w:t>
      </w:r>
      <w:r w:rsidR="00003191">
        <w:t xml:space="preserve"> de infiltrações</w:t>
      </w:r>
      <w:r w:rsidR="00A80E6A">
        <w:t>,</w:t>
      </w:r>
      <w:r w:rsidR="00003191">
        <w:t xml:space="preserve"> umidade</w:t>
      </w:r>
      <w:r w:rsidR="00382B07">
        <w:t>s</w:t>
      </w:r>
      <w:r w:rsidR="00003191">
        <w:t>,</w:t>
      </w:r>
      <w:r w:rsidR="00773BA4">
        <w:t xml:space="preserve"> com mais conforto</w:t>
      </w:r>
      <w:r w:rsidR="00A80E6A">
        <w:t>,</w:t>
      </w:r>
      <w:r w:rsidR="00773BA4">
        <w:t>segurança</w:t>
      </w:r>
      <w:r w:rsidR="00A80E6A">
        <w:t xml:space="preserve"> e </w:t>
      </w:r>
      <w:r w:rsidR="00003191">
        <w:t xml:space="preserve">conforme determina as normas </w:t>
      </w:r>
      <w:r w:rsidR="00773BA4">
        <w:t>vigentes</w:t>
      </w:r>
      <w:r w:rsidR="00A80E6A">
        <w:t xml:space="preserve"> e de acessibilidade</w:t>
      </w:r>
      <w:r w:rsidR="00003191">
        <w:t>.</w:t>
      </w:r>
    </w:p>
    <w:p w:rsidR="00382B07" w:rsidRDefault="00382B07">
      <w:pPr>
        <w:tabs>
          <w:tab w:val="left" w:pos="765"/>
        </w:tabs>
        <w:spacing w:line="360" w:lineRule="auto"/>
        <w:jc w:val="center"/>
        <w:rPr>
          <w:b/>
          <w:sz w:val="28"/>
          <w:szCs w:val="28"/>
          <w:u w:val="single"/>
        </w:rPr>
      </w:pPr>
    </w:p>
    <w:p w:rsidR="00185E99" w:rsidRDefault="00185E99">
      <w:pPr>
        <w:tabs>
          <w:tab w:val="left" w:pos="765"/>
        </w:tabs>
        <w:spacing w:line="360" w:lineRule="auto"/>
        <w:jc w:val="center"/>
      </w:pPr>
      <w:r>
        <w:rPr>
          <w:b/>
          <w:sz w:val="28"/>
          <w:szCs w:val="28"/>
          <w:u w:val="single"/>
        </w:rPr>
        <w:t>Justificativa para a contratação:</w:t>
      </w:r>
    </w:p>
    <w:p w:rsidR="00A80E6A" w:rsidRDefault="00A80E6A" w:rsidP="00713C0B">
      <w:pPr>
        <w:spacing w:line="360" w:lineRule="auto"/>
        <w:jc w:val="both"/>
      </w:pPr>
    </w:p>
    <w:p w:rsidR="0017434C" w:rsidRPr="0017434C" w:rsidRDefault="4002667C" w:rsidP="00D02B4A">
      <w:pPr>
        <w:spacing w:line="360" w:lineRule="auto"/>
        <w:ind w:firstLine="708"/>
        <w:jc w:val="both"/>
      </w:pPr>
      <w:r>
        <w:t>A reforma do Centro de Artes de Nova Friburgo vai além da infraestrutura, é uma revitalização cultural. Além de peças de teatro e exposições, o equipamento público também já sediou diversas edições de eventos tradicionais da cidade, shows musicais, palestras e espetáculos diversos. Essa é a função do Centro de Artes, fomentar a arte e a cultura na cidade de Nova Friburgo.</w:t>
      </w:r>
    </w:p>
    <w:p w:rsidR="00D02B4A" w:rsidRDefault="4002667C" w:rsidP="4002667C">
      <w:pPr>
        <w:spacing w:line="360" w:lineRule="auto"/>
        <w:ind w:firstLine="708"/>
        <w:jc w:val="both"/>
        <w:rPr>
          <w:szCs w:val="24"/>
        </w:rPr>
      </w:pPr>
      <w:r w:rsidRPr="4002667C">
        <w:rPr>
          <w:szCs w:val="24"/>
        </w:rPr>
        <w:t xml:space="preserve"> Por ser abaixo do nível da rua, o espaço foi muito castigado com a enchente de 2011. A maior e mais estrutural reforma realizada no local, após sua criação na década de 1960, foi em 1986. O mofo é um problema recorrente, assim como as saídas e acesso para o público. O prédio está com vários pontos deteriorados, causando infiltrações em todas as áreas, que hoje estão muito danificadas, carecendo de imediata reparação.</w:t>
      </w:r>
    </w:p>
    <w:p w:rsidR="00D02B4A" w:rsidRDefault="4002667C" w:rsidP="00D02B4A">
      <w:pPr>
        <w:spacing w:line="360" w:lineRule="auto"/>
        <w:ind w:firstLine="708"/>
        <w:jc w:val="both"/>
      </w:pPr>
      <w:r>
        <w:lastRenderedPageBreak/>
        <w:t>Reforma do piso, drenagem, iluminação, instalações elétricas, camarins, palco, copa, rampas de acessibilidade e sanitários reformados são algumas das mudanças que constam no projeto de revitalização do local. </w:t>
      </w:r>
    </w:p>
    <w:p w:rsidR="4002667C" w:rsidRDefault="4002667C" w:rsidP="4002667C">
      <w:pPr>
        <w:spacing w:line="360" w:lineRule="auto"/>
        <w:ind w:firstLine="708"/>
        <w:jc w:val="both"/>
        <w:rPr>
          <w:szCs w:val="24"/>
        </w:rPr>
      </w:pPr>
      <w:r w:rsidRPr="4002667C">
        <w:rPr>
          <w:szCs w:val="24"/>
        </w:rPr>
        <w:t>A reabertura do CA (Centro de Arte) é uma reivindicação contínua dos artistas e das gerações que foram criadas frequentando esse espaço. Sem ele, as pessoas perderam a referência cultural, que mantinha a arte viva e presente.</w:t>
      </w:r>
    </w:p>
    <w:p w:rsidR="00185E99" w:rsidRDefault="4002667C" w:rsidP="00D02B4A">
      <w:pPr>
        <w:spacing w:line="360" w:lineRule="auto"/>
        <w:ind w:firstLine="708"/>
        <w:jc w:val="both"/>
      </w:pPr>
      <w:r>
        <w:t xml:space="preserve"> A reforma desse pavimento localizado no primeiro andar do edifício Solar do Barão de Nova Friburgo, que abriga o Centro de Artes, torna-se impreterível, visto a precariedade das condições de funcionamento da estrutura física atual. </w:t>
      </w:r>
    </w:p>
    <w:p w:rsidR="00003191" w:rsidRDefault="00003191">
      <w:pPr>
        <w:spacing w:line="360" w:lineRule="auto"/>
        <w:ind w:firstLine="708"/>
        <w:jc w:val="both"/>
      </w:pPr>
    </w:p>
    <w:p w:rsidR="00185E99" w:rsidRDefault="004D4DED">
      <w:pPr>
        <w:tabs>
          <w:tab w:val="left" w:pos="765"/>
        </w:tabs>
        <w:spacing w:line="360" w:lineRule="auto"/>
        <w:jc w:val="center"/>
      </w:pPr>
      <w:r>
        <w:rPr>
          <w:b/>
          <w:sz w:val="28"/>
          <w:szCs w:val="28"/>
          <w:u w:val="single"/>
        </w:rPr>
        <w:t>D</w:t>
      </w:r>
      <w:r w:rsidR="00185E99">
        <w:rPr>
          <w:b/>
          <w:sz w:val="28"/>
          <w:szCs w:val="28"/>
          <w:u w:val="single"/>
        </w:rPr>
        <w:t>ados sintéticos da Contratação:</w:t>
      </w:r>
    </w:p>
    <w:p w:rsidR="00185E99" w:rsidRDefault="00185E99">
      <w:pPr>
        <w:tabs>
          <w:tab w:val="left" w:pos="765"/>
        </w:tabs>
        <w:spacing w:line="360" w:lineRule="auto"/>
        <w:jc w:val="center"/>
      </w:pPr>
    </w:p>
    <w:p w:rsidR="00185E99" w:rsidRPr="00E47932" w:rsidRDefault="00185E99">
      <w:pPr>
        <w:tabs>
          <w:tab w:val="left" w:pos="765"/>
        </w:tabs>
        <w:spacing w:line="360" w:lineRule="auto"/>
        <w:rPr>
          <w:b/>
        </w:rPr>
      </w:pPr>
      <w:r w:rsidRPr="00E47932">
        <w:rPr>
          <w:b/>
          <w:szCs w:val="24"/>
        </w:rPr>
        <w:t>Secretaria requisitante</w:t>
      </w:r>
      <w:r w:rsidRPr="00E47932">
        <w:rPr>
          <w:szCs w:val="24"/>
        </w:rPr>
        <w:t>: SECRETARIA DA CASA CIVIL, através do Sr. Secretário Walter Luiz Thuller</w:t>
      </w:r>
    </w:p>
    <w:p w:rsidR="00185E99" w:rsidRPr="0034711E" w:rsidRDefault="00185E99">
      <w:pPr>
        <w:tabs>
          <w:tab w:val="left" w:pos="765"/>
        </w:tabs>
        <w:spacing w:line="360" w:lineRule="auto"/>
        <w:jc w:val="both"/>
        <w:rPr>
          <w:b/>
        </w:rPr>
      </w:pPr>
      <w:r w:rsidRPr="0034711E">
        <w:rPr>
          <w:b/>
        </w:rPr>
        <w:t>Secretaria Executora</w:t>
      </w:r>
      <w:r w:rsidRPr="0034711E">
        <w:t>: SECRETARIA MUNICIPAL DE OBRAS, através do Sr. Secretário Jeferson Pires Aragão</w:t>
      </w:r>
    </w:p>
    <w:p w:rsidR="00185E99" w:rsidRPr="003629CF" w:rsidRDefault="00185E99">
      <w:pPr>
        <w:tabs>
          <w:tab w:val="left" w:pos="765"/>
        </w:tabs>
        <w:spacing w:line="360" w:lineRule="auto"/>
        <w:jc w:val="both"/>
        <w:rPr>
          <w:b/>
          <w:highlight w:val="yellow"/>
        </w:rPr>
      </w:pPr>
      <w:r w:rsidRPr="004D4DED">
        <w:rPr>
          <w:b/>
        </w:rPr>
        <w:t>Projeto Básico</w:t>
      </w:r>
      <w:r w:rsidRPr="004D4DED">
        <w:t xml:space="preserve">: </w:t>
      </w:r>
      <w:r w:rsidR="004D4DED" w:rsidRPr="004D4DED">
        <w:t>Arq</w:t>
      </w:r>
      <w:r w:rsidRPr="004D4DED">
        <w:t xml:space="preserve">. </w:t>
      </w:r>
      <w:r w:rsidR="004D4DED" w:rsidRPr="004D4DED">
        <w:t>Cristiane Silva Ferreira Teixeira</w:t>
      </w:r>
      <w:r w:rsidRPr="004D4DED">
        <w:t xml:space="preserve">, com </w:t>
      </w:r>
      <w:r w:rsidRPr="00E47932">
        <w:t xml:space="preserve">a RRT do Projeto Básico no. </w:t>
      </w:r>
      <w:r w:rsidR="00B84660">
        <w:rPr>
          <w:color w:val="000000"/>
          <w:sz w:val="27"/>
          <w:szCs w:val="27"/>
        </w:rPr>
        <w:t>000000441539</w:t>
      </w:r>
    </w:p>
    <w:p w:rsidR="00185E99" w:rsidRPr="004D4DED" w:rsidRDefault="00185E99">
      <w:pPr>
        <w:tabs>
          <w:tab w:val="left" w:pos="765"/>
        </w:tabs>
        <w:spacing w:line="360" w:lineRule="auto"/>
        <w:jc w:val="both"/>
        <w:rPr>
          <w:b/>
        </w:rPr>
      </w:pPr>
      <w:r w:rsidRPr="004D4DED">
        <w:rPr>
          <w:b/>
        </w:rPr>
        <w:t>Orçamento</w:t>
      </w:r>
      <w:r w:rsidRPr="004D4DED">
        <w:t xml:space="preserve">: Eng. Marcio Balbo Monnerat, com a ART </w:t>
      </w:r>
      <w:r w:rsidRPr="0034711E">
        <w:t>do Orçamento no. 2020180067</w:t>
      </w:r>
    </w:p>
    <w:p w:rsidR="00185E99" w:rsidRPr="00DE5726" w:rsidRDefault="4002667C">
      <w:pPr>
        <w:tabs>
          <w:tab w:val="left" w:pos="765"/>
        </w:tabs>
        <w:spacing w:line="360" w:lineRule="auto"/>
        <w:jc w:val="both"/>
      </w:pPr>
      <w:r w:rsidRPr="4002667C">
        <w:rPr>
          <w:b/>
          <w:bCs/>
        </w:rPr>
        <w:t>Custo Estimado para a Contratação</w:t>
      </w:r>
      <w:r>
        <w:t>: R$ 25</w:t>
      </w:r>
      <w:r w:rsidR="0034711E">
        <w:t>9.216,33</w:t>
      </w:r>
      <w:r>
        <w:t xml:space="preserve"> – IO=01/2020</w:t>
      </w:r>
    </w:p>
    <w:p w:rsidR="00185E99" w:rsidRPr="00DE5726" w:rsidRDefault="4002667C" w:rsidP="4002667C">
      <w:pPr>
        <w:tabs>
          <w:tab w:val="left" w:pos="765"/>
        </w:tabs>
        <w:spacing w:line="360" w:lineRule="auto"/>
        <w:jc w:val="both"/>
        <w:rPr>
          <w:highlight w:val="yellow"/>
        </w:rPr>
      </w:pPr>
      <w:r w:rsidRPr="0034711E">
        <w:t>Base de preços: EMOP</w:t>
      </w:r>
      <w:r w:rsidR="00185E99">
        <w:tab/>
      </w:r>
      <w:r w:rsidR="00185E99">
        <w:tab/>
      </w:r>
    </w:p>
    <w:p w:rsidR="00185E99" w:rsidRPr="00DE5726" w:rsidRDefault="4002667C" w:rsidP="4002667C">
      <w:pPr>
        <w:tabs>
          <w:tab w:val="left" w:pos="765"/>
        </w:tabs>
        <w:spacing w:line="360" w:lineRule="auto"/>
        <w:jc w:val="both"/>
        <w:rPr>
          <w:b/>
          <w:bCs/>
        </w:rPr>
      </w:pPr>
      <w:r w:rsidRPr="0034711E">
        <w:t>BDI de 28.93% com desoneração.</w:t>
      </w:r>
    </w:p>
    <w:p w:rsidR="00185E99" w:rsidRPr="00DE5726" w:rsidRDefault="4002667C" w:rsidP="4002667C">
      <w:pPr>
        <w:tabs>
          <w:tab w:val="left" w:pos="765"/>
        </w:tabs>
        <w:spacing w:line="360" w:lineRule="auto"/>
        <w:jc w:val="both"/>
        <w:rPr>
          <w:b/>
          <w:bCs/>
        </w:rPr>
      </w:pPr>
      <w:r w:rsidRPr="4002667C">
        <w:rPr>
          <w:b/>
          <w:bCs/>
        </w:rPr>
        <w:t>Cronograma físico-financeiro</w:t>
      </w:r>
      <w:r>
        <w:t>: 120 dias corridos, iniciados a partir da Ordem de Início dos Serviços.</w:t>
      </w:r>
    </w:p>
    <w:p w:rsidR="00185E99" w:rsidRPr="00DE5726" w:rsidRDefault="4002667C" w:rsidP="4002667C">
      <w:pPr>
        <w:tabs>
          <w:tab w:val="left" w:pos="765"/>
        </w:tabs>
        <w:spacing w:line="360" w:lineRule="auto"/>
        <w:jc w:val="both"/>
        <w:rPr>
          <w:b/>
          <w:bCs/>
        </w:rPr>
      </w:pPr>
      <w:r w:rsidRPr="4002667C">
        <w:rPr>
          <w:b/>
          <w:bCs/>
        </w:rPr>
        <w:t xml:space="preserve">Prazo de Vigência Contratual: </w:t>
      </w:r>
      <w:r>
        <w:t>210 dias corridos, a partir da Ordem de Início dos Serviços, para cobertura contratual de eventuais intercorrências e pendências financeiras.</w:t>
      </w:r>
    </w:p>
    <w:p w:rsidR="00185E99" w:rsidRPr="00FB7FDF" w:rsidRDefault="00185E99">
      <w:pPr>
        <w:tabs>
          <w:tab w:val="left" w:pos="765"/>
        </w:tabs>
        <w:spacing w:line="360" w:lineRule="auto"/>
        <w:jc w:val="both"/>
        <w:rPr>
          <w:b/>
        </w:rPr>
      </w:pPr>
      <w:r w:rsidRPr="00FB7FDF">
        <w:rPr>
          <w:b/>
        </w:rPr>
        <w:t>Modalidade da Licitação</w:t>
      </w:r>
      <w:r w:rsidRPr="00FB7FDF">
        <w:t xml:space="preserve">: Tomada de </w:t>
      </w:r>
      <w:r w:rsidR="00DE5726" w:rsidRPr="00FB7FDF">
        <w:t xml:space="preserve">Preços </w:t>
      </w:r>
      <w:r w:rsidR="00DE5726">
        <w:t xml:space="preserve">- </w:t>
      </w:r>
      <w:r w:rsidR="00DE5726" w:rsidRPr="00DE5726">
        <w:rPr>
          <w:b/>
          <w:bCs/>
        </w:rPr>
        <w:t>Tipo</w:t>
      </w:r>
      <w:r w:rsidRPr="00DE5726">
        <w:rPr>
          <w:b/>
          <w:bCs/>
        </w:rPr>
        <w:t xml:space="preserve"> de</w:t>
      </w:r>
      <w:r w:rsidRPr="00FB7FDF">
        <w:rPr>
          <w:b/>
        </w:rPr>
        <w:t xml:space="preserve"> Licitação:</w:t>
      </w:r>
      <w:r w:rsidRPr="00FB7FDF">
        <w:t xml:space="preserve"> Menor Preço Global</w:t>
      </w:r>
    </w:p>
    <w:p w:rsidR="00185E99" w:rsidRPr="003629CF" w:rsidRDefault="00185E99">
      <w:pPr>
        <w:tabs>
          <w:tab w:val="left" w:pos="765"/>
        </w:tabs>
        <w:spacing w:line="360" w:lineRule="auto"/>
        <w:jc w:val="both"/>
        <w:rPr>
          <w:b/>
        </w:rPr>
      </w:pPr>
      <w:r w:rsidRPr="00FB7FDF">
        <w:rPr>
          <w:b/>
        </w:rPr>
        <w:t>Regime de execução</w:t>
      </w:r>
      <w:r w:rsidRPr="00FB7FDF">
        <w:t>: Empreitada por preço unitário</w:t>
      </w:r>
    </w:p>
    <w:p w:rsidR="00185E99" w:rsidRDefault="00185E99">
      <w:pPr>
        <w:tabs>
          <w:tab w:val="left" w:pos="765"/>
        </w:tabs>
        <w:spacing w:line="360" w:lineRule="auto"/>
        <w:jc w:val="both"/>
        <w:rPr>
          <w:b/>
        </w:rPr>
      </w:pPr>
    </w:p>
    <w:p w:rsidR="00185E99" w:rsidRDefault="00185E99">
      <w:pPr>
        <w:tabs>
          <w:tab w:val="left" w:pos="765"/>
        </w:tabs>
        <w:spacing w:line="360" w:lineRule="auto"/>
        <w:jc w:val="both"/>
      </w:pPr>
      <w:r>
        <w:rPr>
          <w:b/>
        </w:rPr>
        <w:t>Ite</w:t>
      </w:r>
      <w:r w:rsidR="006012A1">
        <w:rPr>
          <w:b/>
        </w:rPr>
        <w:t>ns</w:t>
      </w:r>
      <w:r>
        <w:rPr>
          <w:b/>
        </w:rPr>
        <w:t xml:space="preserve"> de maior relevância técnica:</w:t>
      </w:r>
    </w:p>
    <w:p w:rsidR="00185E99" w:rsidRDefault="4002667C">
      <w:pPr>
        <w:tabs>
          <w:tab w:val="left" w:pos="765"/>
        </w:tabs>
        <w:spacing w:line="360" w:lineRule="auto"/>
        <w:jc w:val="both"/>
      </w:pPr>
      <w:r>
        <w:lastRenderedPageBreak/>
        <w:t>Item 8.1 – estrutura para sustentação da cobertura de vidro do acesso principal ao Centro de Artes;</w:t>
      </w:r>
    </w:p>
    <w:p w:rsidR="00962CF1" w:rsidRDefault="4002667C" w:rsidP="4002667C">
      <w:pPr>
        <w:spacing w:line="360" w:lineRule="auto"/>
        <w:jc w:val="both"/>
      </w:pPr>
      <w:r>
        <w:t>Item 8.4 – caixilho fixo de alumínio para fixação do vidro;</w:t>
      </w:r>
    </w:p>
    <w:p w:rsidR="00962CF1" w:rsidRDefault="4002667C" w:rsidP="4002667C">
      <w:pPr>
        <w:tabs>
          <w:tab w:val="left" w:pos="765"/>
        </w:tabs>
        <w:spacing w:line="360" w:lineRule="auto"/>
        <w:jc w:val="both"/>
      </w:pPr>
      <w:r w:rsidRPr="4002667C">
        <w:rPr>
          <w:color w:val="000000" w:themeColor="text1"/>
          <w:szCs w:val="24"/>
        </w:rPr>
        <w:t>Item 8.5 – rufo em alumínio de 0,5x300mm</w:t>
      </w:r>
    </w:p>
    <w:p w:rsidR="4002667C" w:rsidRDefault="4002667C" w:rsidP="4002667C">
      <w:pPr>
        <w:spacing w:line="360" w:lineRule="auto"/>
        <w:jc w:val="both"/>
        <w:rPr>
          <w:color w:val="000000" w:themeColor="text1"/>
          <w:szCs w:val="24"/>
        </w:rPr>
      </w:pPr>
    </w:p>
    <w:p w:rsidR="00185E99" w:rsidRDefault="4002667C">
      <w:pPr>
        <w:tabs>
          <w:tab w:val="left" w:pos="765"/>
        </w:tabs>
        <w:spacing w:line="360" w:lineRule="auto"/>
        <w:jc w:val="both"/>
      </w:pPr>
      <w:r w:rsidRPr="4002667C">
        <w:rPr>
          <w:b/>
          <w:bCs/>
        </w:rPr>
        <w:t>Subcontratações admitidas:</w:t>
      </w:r>
      <w:r>
        <w:t xml:space="preserve"> (limitados a 30% do valor previsto no orçamento)</w:t>
      </w:r>
    </w:p>
    <w:p w:rsidR="39983D20" w:rsidRDefault="39983D20" w:rsidP="39983D20">
      <w:pPr>
        <w:spacing w:line="360" w:lineRule="auto"/>
        <w:jc w:val="both"/>
      </w:pPr>
      <w:r>
        <w:t xml:space="preserve">Item 1.2 - projeto executivo de sistema de </w:t>
      </w:r>
      <w:r w:rsidR="0034711E">
        <w:t>ar-condicionado</w:t>
      </w:r>
      <w:r>
        <w:t xml:space="preserve"> e exaustão mecânica;</w:t>
      </w:r>
    </w:p>
    <w:p w:rsidR="00B845FB" w:rsidRDefault="39983D20">
      <w:pPr>
        <w:tabs>
          <w:tab w:val="left" w:pos="765"/>
        </w:tabs>
        <w:spacing w:line="360" w:lineRule="auto"/>
        <w:jc w:val="both"/>
      </w:pPr>
      <w:r>
        <w:t>Item 2.11 e 3.2 –locação de caçamba de aço tipo container com 5m³ de capacidade, para retirada de entulho de obra, inclusive carregamento, transporte e descarregamento, exclusive taxa para descarga em locais autorizados e/ou licenciados;</w:t>
      </w:r>
    </w:p>
    <w:p w:rsidR="006012A1" w:rsidRDefault="006012A1">
      <w:pPr>
        <w:tabs>
          <w:tab w:val="left" w:pos="765"/>
        </w:tabs>
        <w:spacing w:line="360" w:lineRule="auto"/>
        <w:jc w:val="both"/>
      </w:pPr>
    </w:p>
    <w:p w:rsidR="00185E99" w:rsidRDefault="00185E99">
      <w:pPr>
        <w:tabs>
          <w:tab w:val="left" w:pos="765"/>
        </w:tabs>
        <w:spacing w:line="360" w:lineRule="auto"/>
        <w:jc w:val="center"/>
      </w:pPr>
      <w:r>
        <w:rPr>
          <w:b/>
          <w:sz w:val="28"/>
          <w:szCs w:val="28"/>
          <w:u w:val="single"/>
        </w:rPr>
        <w:t>Da apresentação das propostas:</w:t>
      </w:r>
    </w:p>
    <w:p w:rsidR="00185E99" w:rsidRDefault="00185E99">
      <w:pPr>
        <w:tabs>
          <w:tab w:val="left" w:pos="765"/>
        </w:tabs>
        <w:spacing w:line="360" w:lineRule="auto"/>
        <w:jc w:val="center"/>
      </w:pPr>
    </w:p>
    <w:p w:rsidR="00185E99" w:rsidRDefault="00185E99">
      <w:pPr>
        <w:spacing w:line="360" w:lineRule="auto"/>
      </w:pPr>
      <w:r>
        <w:t>ART 43 – A licitação será processada e julgada com a observância dos seguintes procedimentos:</w:t>
      </w:r>
    </w:p>
    <w:p w:rsidR="00185E99" w:rsidRDefault="00185E99">
      <w:pPr>
        <w:spacing w:line="360" w:lineRule="auto"/>
        <w:jc w:val="both"/>
      </w:pPr>
      <w:r>
        <w:tab/>
        <w:t xml:space="preserve">IV – verificação da conformidade de cada proposta com os requisitos do edital e, conforme o caso, com os </w:t>
      </w:r>
      <w:r>
        <w:rPr>
          <w:b/>
        </w:rPr>
        <w:t>preços correntes no mercado ou fixados por órgão oficial competente</w:t>
      </w:r>
      <w:r>
        <w:t xml:space="preserve">, ou ainda com os constantes do </w:t>
      </w:r>
      <w:r w:rsidR="00ED0739">
        <w:t>sistema</w:t>
      </w:r>
      <w:r>
        <w:t xml:space="preserve"> de registro de preços, os quais deverão ser devidamente registrados na ata de julgamento, promovendo-se a </w:t>
      </w:r>
      <w:r>
        <w:rPr>
          <w:b/>
          <w:u w:val="single"/>
        </w:rPr>
        <w:t>desclassificação das propostas</w:t>
      </w:r>
      <w:r>
        <w:t xml:space="preserve"> desconformes ou incompatíveis. </w:t>
      </w:r>
    </w:p>
    <w:p w:rsidR="00185E99" w:rsidRDefault="00185E99">
      <w:pPr>
        <w:spacing w:line="360" w:lineRule="auto"/>
        <w:jc w:val="both"/>
      </w:pPr>
      <w:r>
        <w:tab/>
        <w:t xml:space="preserve">§3º - É facultada à Comissão ou autoridade superior, </w:t>
      </w:r>
      <w:r>
        <w:rPr>
          <w:b/>
          <w:u w:val="single"/>
        </w:rPr>
        <w:t>em qualquer fase da licitação</w:t>
      </w:r>
      <w:r>
        <w:t>, a promoção de diligência destinada a esclarecer ou a complementar a instrução do</w:t>
      </w:r>
      <w:r w:rsidR="00213F1D">
        <w:t xml:space="preserve"> </w:t>
      </w:r>
      <w:r>
        <w:t xml:space="preserve">processo, vedada a </w:t>
      </w:r>
      <w:r w:rsidR="00ED0739">
        <w:t>inclusão</w:t>
      </w:r>
      <w:r>
        <w:t xml:space="preserve"> posterior de documento ou informação que deveria constar originariamente da proposta.</w:t>
      </w:r>
    </w:p>
    <w:p w:rsidR="00185E99" w:rsidRDefault="00185E99">
      <w:pPr>
        <w:spacing w:line="360" w:lineRule="auto"/>
        <w:jc w:val="both"/>
      </w:pPr>
      <w:r>
        <w:t xml:space="preserve">ART 44 – No julgamento das </w:t>
      </w:r>
      <w:r w:rsidR="00ED0739">
        <w:t>propostas,</w:t>
      </w:r>
      <w:r>
        <w:t xml:space="preserve"> a Comissão levará em consideração os critérios objetivos definidos no edital ou convite, os quais não devem contrariar as normas e princípios estabelecidos em Lei. </w:t>
      </w:r>
    </w:p>
    <w:p w:rsidR="00185E99" w:rsidRDefault="00185E99">
      <w:pPr>
        <w:spacing w:line="360" w:lineRule="auto"/>
        <w:jc w:val="both"/>
      </w:pPr>
      <w:r>
        <w:tab/>
        <w:t xml:space="preserve">§3º - Não se admitirá proposta que apresente </w:t>
      </w:r>
      <w:r>
        <w:rPr>
          <w:b/>
          <w:u w:val="single"/>
        </w:rPr>
        <w:t>preço global ou unitários simbólicos, irrisórios ou de valor</w:t>
      </w:r>
      <w:r w:rsidR="00213F1D">
        <w:rPr>
          <w:b/>
          <w:u w:val="single"/>
        </w:rPr>
        <w:t xml:space="preserve"> </w:t>
      </w:r>
      <w:r>
        <w:rPr>
          <w:b/>
          <w:u w:val="single"/>
        </w:rPr>
        <w:t>zero, incompatíveis com os preços dos insumos e salários de mercado</w:t>
      </w:r>
      <w:r>
        <w:t xml:space="preserve">, acrescidos dos respectivos  encargos  ainda que o ato convocatório da licitação  não tenha estabelecido limites mínimos, </w:t>
      </w:r>
      <w:r>
        <w:rPr>
          <w:b/>
          <w:u w:val="single"/>
        </w:rPr>
        <w:t xml:space="preserve">exceto quando se referirem a materiais e instalações de </w:t>
      </w:r>
      <w:r>
        <w:rPr>
          <w:b/>
          <w:u w:val="single"/>
        </w:rPr>
        <w:lastRenderedPageBreak/>
        <w:t>propriedade do próprio licitante, para os quais ele renuncie a parcela ou a totalidade da remuneração.</w:t>
      </w:r>
    </w:p>
    <w:p w:rsidR="00185E99" w:rsidRDefault="00185E99">
      <w:pPr>
        <w:spacing w:line="360" w:lineRule="auto"/>
        <w:jc w:val="both"/>
        <w:rPr>
          <w:b/>
          <w:u w:val="single"/>
        </w:rPr>
      </w:pPr>
      <w:r>
        <w:t>O Presidente da Comissão de Licitação poderá, conforme disposto no art. 43 § 3º, em face da complexibilidade da contratação  ou mesmo  na ausência de profissionais qualificados em análise de custos, constante dos quadros da CPL, ENCAMINHAR as propostas para a área técnica responsável pelo planejamento e elaboração do PROJETO BÁSICO, para manifestação e parecer a respeito da correção dos valores apresentados e exequibilidade das mesmas.</w:t>
      </w:r>
    </w:p>
    <w:p w:rsidR="00185E99" w:rsidRDefault="00185E99">
      <w:pPr>
        <w:spacing w:line="360" w:lineRule="auto"/>
        <w:jc w:val="both"/>
        <w:rPr>
          <w:b/>
          <w:u w:val="single"/>
        </w:rPr>
      </w:pPr>
    </w:p>
    <w:p w:rsidR="00185E99" w:rsidRDefault="00185E99">
      <w:pPr>
        <w:spacing w:line="360" w:lineRule="auto"/>
        <w:jc w:val="both"/>
        <w:rPr>
          <w:b/>
          <w:u w:val="single"/>
        </w:rPr>
      </w:pPr>
      <w:r>
        <w:rPr>
          <w:b/>
          <w:i/>
          <w:u w:val="single"/>
        </w:rPr>
        <w:t xml:space="preserve">Na execução contratual deverá ser observada a NOTA TÉCNICA Nº 07/2014 –SEA- Ministério Público </w:t>
      </w:r>
      <w:r w:rsidR="00ED0739">
        <w:rPr>
          <w:b/>
          <w:i/>
          <w:u w:val="single"/>
        </w:rPr>
        <w:t>Federal,</w:t>
      </w:r>
      <w:r>
        <w:rPr>
          <w:b/>
          <w:i/>
          <w:u w:val="single"/>
        </w:rPr>
        <w:t xml:space="preserve"> com o entendimento abaixo;</w:t>
      </w:r>
    </w:p>
    <w:p w:rsidR="00185E99" w:rsidRDefault="00185E99">
      <w:pPr>
        <w:spacing w:line="360" w:lineRule="auto"/>
        <w:jc w:val="both"/>
        <w:rPr>
          <w:b/>
          <w:u w:val="single"/>
        </w:rPr>
      </w:pPr>
    </w:p>
    <w:p w:rsidR="00185E99" w:rsidRDefault="00185E99">
      <w:pPr>
        <w:tabs>
          <w:tab w:val="left" w:pos="765"/>
        </w:tabs>
        <w:spacing w:line="360" w:lineRule="auto"/>
        <w:jc w:val="both"/>
      </w:pPr>
      <w:r>
        <w:rPr>
          <w:b/>
        </w:rPr>
        <w:t xml:space="preserve">Ainda que a proposta seja exequível na forma do disposto no Art 48,  não serão admitidas alterações contratuais com fulcro no Art 65  incisos “a”  e “b” , manejados através </w:t>
      </w:r>
      <w:r>
        <w:rPr>
          <w:b/>
          <w:i/>
          <w:u w:val="single"/>
        </w:rPr>
        <w:t>DA SUPRESSÃO</w:t>
      </w:r>
      <w:r>
        <w:rPr>
          <w:b/>
        </w:rPr>
        <w:t xml:space="preserve"> dos itens com valor unitário simbólico ou irrisório, e consequente </w:t>
      </w:r>
      <w:r>
        <w:rPr>
          <w:b/>
          <w:i/>
          <w:u w:val="single"/>
        </w:rPr>
        <w:t xml:space="preserve">ACRÉSCIMO </w:t>
      </w:r>
      <w:r>
        <w:rPr>
          <w:b/>
        </w:rPr>
        <w:t xml:space="preserve">de itens cotados de forma regular ou mesmo a inclusão de </w:t>
      </w:r>
      <w:r>
        <w:rPr>
          <w:b/>
          <w:i/>
          <w:u w:val="single"/>
        </w:rPr>
        <w:t>NOVOS ITENS</w:t>
      </w:r>
      <w:r>
        <w:rPr>
          <w:b/>
        </w:rPr>
        <w:t xml:space="preserve"> não previstos inicialmente.</w:t>
      </w:r>
    </w:p>
    <w:p w:rsidR="00185E99" w:rsidRDefault="00185E99">
      <w:pPr>
        <w:tabs>
          <w:tab w:val="left" w:pos="765"/>
        </w:tabs>
        <w:spacing w:line="360" w:lineRule="auto"/>
        <w:jc w:val="both"/>
      </w:pPr>
    </w:p>
    <w:p w:rsidR="00185E99" w:rsidRDefault="00185E99">
      <w:pPr>
        <w:tabs>
          <w:tab w:val="left" w:pos="765"/>
        </w:tabs>
        <w:spacing w:line="360" w:lineRule="auto"/>
        <w:jc w:val="center"/>
      </w:pPr>
      <w:r>
        <w:rPr>
          <w:b/>
          <w:sz w:val="28"/>
          <w:szCs w:val="28"/>
          <w:u w:val="single"/>
        </w:rPr>
        <w:t>Condições para execução do objeto e medições dos serviços:</w:t>
      </w:r>
    </w:p>
    <w:p w:rsidR="00185E99" w:rsidRDefault="00185E99">
      <w:pPr>
        <w:tabs>
          <w:tab w:val="left" w:pos="765"/>
        </w:tabs>
        <w:spacing w:line="360" w:lineRule="auto"/>
        <w:jc w:val="center"/>
      </w:pPr>
    </w:p>
    <w:p w:rsidR="00185E99" w:rsidRDefault="00185E99">
      <w:pPr>
        <w:tabs>
          <w:tab w:val="left" w:pos="765"/>
        </w:tabs>
        <w:spacing w:line="360" w:lineRule="auto"/>
        <w:jc w:val="both"/>
      </w:pPr>
      <w:r>
        <w:tab/>
        <w:t xml:space="preserve">1-Na execução dos serviços deverá haver emissão pela Contratada de memória onde se especifique, dimensione e situe o serviço realizado, com localização clara dos itens através de projetos, registros fotográficos do local e toda documentação comprobatória da execução dos serviços que se fizer necessária, </w:t>
      </w:r>
      <w:r>
        <w:rPr>
          <w:b/>
          <w:i/>
        </w:rPr>
        <w:t>com fotos da situação antes, durante e após a execução do serviço</w:t>
      </w:r>
      <w:r>
        <w:t>, para cadastramento e efetivação das medições, anexando estes documentos aos autos do processo administrativo do contrato de execução do objeto ora licitado;</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 xml:space="preserve">2-Incluir dispositivo no EDITAL estabelecendo que os materiais removidos, entre eles abrigos, pérgolas, paralelepípedos e intertravados, deverão ser entregues à administração pública em perfeitas condições técnicas para que possam ser reinstalados em outros locais. Esses materiais serão depositados em locais previamente definidos pela secretaria executora. </w:t>
      </w:r>
    </w:p>
    <w:p w:rsidR="0078612A" w:rsidRDefault="00185E99">
      <w:pPr>
        <w:tabs>
          <w:tab w:val="left" w:pos="765"/>
        </w:tabs>
        <w:spacing w:line="360" w:lineRule="auto"/>
        <w:jc w:val="both"/>
      </w:pPr>
      <w:r>
        <w:tab/>
      </w:r>
    </w:p>
    <w:p w:rsidR="00185E99" w:rsidRDefault="0078612A">
      <w:pPr>
        <w:tabs>
          <w:tab w:val="left" w:pos="765"/>
        </w:tabs>
        <w:spacing w:line="360" w:lineRule="auto"/>
        <w:jc w:val="both"/>
      </w:pPr>
      <w:r>
        <w:lastRenderedPageBreak/>
        <w:tab/>
      </w:r>
      <w:r w:rsidR="00185E99">
        <w:t xml:space="preserve">3-Incluir dispositivo no EDITAL estabelecendo que a Contratada deverá disponibilizar, juntamente com os projetos executivos, as memórias de cálculo de dimensionamento a eles relativos, para fins de verificação da adequação da solução adotada; </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4-Incluir no EDITAL, relativamente à inclusão de itens novos:</w:t>
      </w:r>
    </w:p>
    <w:p w:rsidR="00185E99" w:rsidRDefault="00185E99">
      <w:pPr>
        <w:tabs>
          <w:tab w:val="left" w:pos="765"/>
        </w:tabs>
        <w:spacing w:line="360" w:lineRule="auto"/>
        <w:jc w:val="both"/>
      </w:pPr>
      <w:r>
        <w:t xml:space="preserve">“Em se tratando da inclusão de preços unitários novos que não estejam previstos no Catálogo FGV/EMOP/SINAPI, será adotado </w:t>
      </w:r>
      <w:r>
        <w:rPr>
          <w:b/>
          <w:i/>
        </w:rPr>
        <w:t>o menor preço</w:t>
      </w:r>
      <w:r>
        <w:t xml:space="preserve"> de cotações de mercado, de no mínimo 3 (três) empresas especializadas.</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5-Incluir dispositivo no EDITAL estabelecendo que as medições serão realizadas com base nos serviços efetivamente realizados e serão acompanhadas das memórias de cálculo e relatório fotográfico contendo a indicação dos locais da execução dos serviços conforme item 1.</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 xml:space="preserve">6-Definir no EDITAL que em caso de reajustamento de preços a Administração considerará como </w:t>
      </w:r>
      <w:r>
        <w:rPr>
          <w:b/>
          <w:i/>
        </w:rPr>
        <w:t>IO a data de apresentação das propostas</w:t>
      </w:r>
      <w:r>
        <w:t>.</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7- Incluir no EDITAL as condições de qualidade dos serviços e aceites.</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8- Incluir no EDITAL a dosimetria em anexo na aplicação de sanções.</w:t>
      </w:r>
    </w:p>
    <w:p w:rsidR="00185E99" w:rsidRDefault="00185E99">
      <w:pPr>
        <w:tabs>
          <w:tab w:val="left" w:pos="765"/>
        </w:tabs>
        <w:spacing w:line="360" w:lineRule="auto"/>
        <w:jc w:val="both"/>
      </w:pPr>
    </w:p>
    <w:p w:rsidR="00185E99" w:rsidRDefault="00185E99">
      <w:pPr>
        <w:tabs>
          <w:tab w:val="left" w:pos="765"/>
        </w:tabs>
        <w:spacing w:line="360" w:lineRule="auto"/>
        <w:jc w:val="center"/>
      </w:pPr>
      <w:r>
        <w:rPr>
          <w:b/>
          <w:sz w:val="28"/>
          <w:szCs w:val="28"/>
          <w:u w:val="single"/>
        </w:rPr>
        <w:t>Condições de qualidade dos serviços e aceites:</w:t>
      </w:r>
    </w:p>
    <w:p w:rsidR="00185E99" w:rsidRDefault="00185E99">
      <w:pPr>
        <w:tabs>
          <w:tab w:val="left" w:pos="765"/>
        </w:tabs>
        <w:spacing w:line="360" w:lineRule="auto"/>
        <w:jc w:val="center"/>
      </w:pPr>
    </w:p>
    <w:p w:rsidR="00185E99" w:rsidRDefault="00185E99">
      <w:pPr>
        <w:tabs>
          <w:tab w:val="left" w:pos="0"/>
          <w:tab w:val="left" w:pos="993"/>
        </w:tabs>
        <w:spacing w:line="360" w:lineRule="auto"/>
        <w:ind w:firstLine="709"/>
        <w:jc w:val="both"/>
      </w:pPr>
      <w:r>
        <w:t>1-Deverão ser atendidos os preceitos da Lei 10.406/2002 (Código Civil) e da Lei 8.078/1990 (Código de Defesa do Consumidor), bem como o artigo 54 e 69 da Lei 8.666/1993 e jurisprudência do TCU acordão 92/2004, bem como as orientações técnicas OT-IBR003/2011 do IBRAOP e demais normas técnicas, em especial a ABNT NBR 15.575 – norma de desempenho.</w:t>
      </w:r>
    </w:p>
    <w:p w:rsidR="00185E99" w:rsidRDefault="00185E99">
      <w:pPr>
        <w:tabs>
          <w:tab w:val="left" w:pos="0"/>
          <w:tab w:val="left" w:pos="993"/>
        </w:tabs>
        <w:spacing w:line="360" w:lineRule="auto"/>
        <w:ind w:firstLine="709"/>
        <w:jc w:val="both"/>
      </w:pPr>
    </w:p>
    <w:p w:rsidR="00185E99" w:rsidRDefault="00185E99">
      <w:pPr>
        <w:tabs>
          <w:tab w:val="left" w:pos="765"/>
        </w:tabs>
        <w:spacing w:line="360" w:lineRule="auto"/>
        <w:jc w:val="both"/>
      </w:pPr>
      <w:r>
        <w:tab/>
        <w:t>2- A responsabilidade do construtor por defeitos precoces nas obras é objetiva e atinge também os projetistas ou empresas de consultoria, cabendo-lhes eventuais provas de exclusão de culpabilidade, que devem se limitar tão somente às alegações de: caso fortuito, motivo de força maior, culpa exclusiva de terceiros e inexistência do defeito.</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3- Em caso da necessidade de reparos e sem haver contestações a esse respeito, a Administração Pública deve se certificar de que as soluções apresentadas pela empreiteira responsável sejam as mais adequadas para garantir que os serviços não sejam meramente paliativos, ou seja, que durem por toda a vida útil da obra.</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4- Caso a empreiteira responsável encaminhe uma peça de defesa, a Administração Pública deve analisá-la, emitindo relatório técnico que, concluindo pela sua procedência, recomende o arquivamento do processo, ou, concluindo pela improcedência, fundamente nova notificação ao executor, desta feita para o início imediato dos serviços. Essa nova notificação deve ser acompanhada de planilha orçamentária que descreva os serviços a serem executados, com suas respectivas quantidades e preços.</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5- Caso os reparos não sejam iniciados pela empreiteira no prazo estabelecido na notificação, a Administração Pública poderá solicitar demanda do devido processo judicial (para a Procuradoria-Geral da unidade federativa ou outro Órgão de equivalente função).</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6- Não há impedimento, em casos urgentes, que a Administração Pública execute os serviços de reparação, para posterior ressarcimento a contratante. Nesse caso, deve comunicar previamente o fato, informando do respectivo orçamento à empreiteira responsável, para posterior ressarcimento aos cofres públicos.</w:t>
      </w:r>
    </w:p>
    <w:p w:rsidR="00185E99" w:rsidRDefault="00185E99">
      <w:pPr>
        <w:tabs>
          <w:tab w:val="left" w:pos="765"/>
        </w:tabs>
        <w:spacing w:line="360" w:lineRule="auto"/>
        <w:jc w:val="both"/>
      </w:pPr>
    </w:p>
    <w:p w:rsidR="00185E99" w:rsidRDefault="00185E99">
      <w:pPr>
        <w:tabs>
          <w:tab w:val="left" w:pos="765"/>
        </w:tabs>
        <w:spacing w:line="360" w:lineRule="auto"/>
        <w:jc w:val="both"/>
      </w:pPr>
      <w:r>
        <w:tab/>
        <w:t>7- Dado o regular transcurso do processo administrativo ou judicial, bem com a urgência de se iniciarem os reparos, uma vez que sua postergação acarreta o agravamento dos defeitos e perigo ou desconforto aos usuários, deve-se também requisitar um pedido de antecipação de tutela e a arbitragem de uma multa diária pelo não cumprimento.</w:t>
      </w:r>
    </w:p>
    <w:p w:rsidR="00185E99" w:rsidRDefault="00185E99">
      <w:pPr>
        <w:tabs>
          <w:tab w:val="left" w:pos="765"/>
        </w:tabs>
        <w:spacing w:line="360" w:lineRule="auto"/>
        <w:jc w:val="both"/>
      </w:pPr>
    </w:p>
    <w:p w:rsidR="00185E99" w:rsidRDefault="00185E99">
      <w:pPr>
        <w:tabs>
          <w:tab w:val="left" w:pos="765"/>
        </w:tabs>
        <w:spacing w:line="360" w:lineRule="auto"/>
        <w:jc w:val="both"/>
      </w:pPr>
    </w:p>
    <w:p w:rsidR="00185E99" w:rsidRDefault="00185E99">
      <w:pPr>
        <w:tabs>
          <w:tab w:val="left" w:pos="765"/>
        </w:tabs>
        <w:spacing w:line="360" w:lineRule="auto"/>
        <w:jc w:val="center"/>
      </w:pPr>
      <w:r>
        <w:rPr>
          <w:b/>
          <w:sz w:val="28"/>
          <w:szCs w:val="28"/>
          <w:u w:val="single"/>
        </w:rPr>
        <w:t>Da Aplicação das Sanções:</w:t>
      </w:r>
    </w:p>
    <w:p w:rsidR="00185E99" w:rsidRDefault="00185E99">
      <w:pPr>
        <w:tabs>
          <w:tab w:val="left" w:pos="765"/>
        </w:tabs>
        <w:spacing w:line="360" w:lineRule="auto"/>
        <w:jc w:val="center"/>
      </w:pPr>
    </w:p>
    <w:p w:rsidR="00185E99" w:rsidRDefault="00185E99">
      <w:pPr>
        <w:numPr>
          <w:ilvl w:val="0"/>
          <w:numId w:val="3"/>
        </w:numPr>
        <w:tabs>
          <w:tab w:val="left" w:pos="765"/>
        </w:tabs>
        <w:spacing w:line="360" w:lineRule="auto"/>
        <w:jc w:val="both"/>
      </w:pPr>
      <w:r>
        <w:rPr>
          <w:b/>
        </w:rPr>
        <w:lastRenderedPageBreak/>
        <w:t>A inexecução parcial ou total , o atraso injustificado na execução do objeto</w:t>
      </w:r>
      <w:r>
        <w:t xml:space="preserve"> deste contrato e a prática de qualquer dos atos indicados na Tabela 2 abaixo, verificado o nexo casual devido à ação ou omissão da CONTRATADA, relativamente às obrigações contratuais em questão, torna passível a aplicação das sanções previstas na legislação em vigente e nesse contrato, observando–se o contraditório e a  ampla defesa, conforme listado a seguir;</w:t>
      </w:r>
    </w:p>
    <w:p w:rsidR="00185E99" w:rsidRDefault="00185E99">
      <w:pPr>
        <w:tabs>
          <w:tab w:val="left" w:pos="765"/>
        </w:tabs>
        <w:spacing w:line="360" w:lineRule="auto"/>
        <w:ind w:left="720"/>
        <w:jc w:val="both"/>
      </w:pPr>
      <w:r>
        <w:t>1.1-</w:t>
      </w:r>
      <w:r w:rsidR="0078612A">
        <w:t>Advertência</w:t>
      </w:r>
      <w:r>
        <w:t>;</w:t>
      </w:r>
    </w:p>
    <w:p w:rsidR="00185E99" w:rsidRDefault="00185E99">
      <w:pPr>
        <w:tabs>
          <w:tab w:val="left" w:pos="765"/>
        </w:tabs>
        <w:spacing w:line="360" w:lineRule="auto"/>
        <w:ind w:left="720"/>
        <w:jc w:val="both"/>
      </w:pPr>
      <w:r>
        <w:t>1.2-</w:t>
      </w:r>
      <w:r w:rsidR="0078612A">
        <w:t>Multa</w:t>
      </w:r>
      <w:r>
        <w:t>;</w:t>
      </w:r>
    </w:p>
    <w:p w:rsidR="00185E99" w:rsidRDefault="00185E99">
      <w:pPr>
        <w:tabs>
          <w:tab w:val="left" w:pos="765"/>
        </w:tabs>
        <w:spacing w:line="360" w:lineRule="auto"/>
        <w:ind w:left="720"/>
        <w:jc w:val="both"/>
      </w:pPr>
      <w:r>
        <w:t>1.3-</w:t>
      </w:r>
      <w:r w:rsidR="0078612A">
        <w:t>Suspensão</w:t>
      </w:r>
      <w:r>
        <w:t xml:space="preserve"> temporária da participação em licitação e impedimento de contratar com a Prefeitura Municipal de Nova Friburgo;</w:t>
      </w:r>
    </w:p>
    <w:p w:rsidR="00185E99" w:rsidRDefault="00185E99">
      <w:pPr>
        <w:tabs>
          <w:tab w:val="left" w:pos="765"/>
        </w:tabs>
        <w:spacing w:line="360" w:lineRule="auto"/>
        <w:ind w:left="720"/>
        <w:jc w:val="both"/>
      </w:pPr>
      <w:r>
        <w:t>1.4-</w:t>
      </w:r>
      <w:r w:rsidR="0078612A">
        <w:t>Declaração</w:t>
      </w:r>
      <w:r>
        <w:t xml:space="preserve"> de inidoneidade para licitar ou contratar com a Administração Pública.</w:t>
      </w:r>
    </w:p>
    <w:p w:rsidR="00185E99" w:rsidRDefault="00185E99">
      <w:pPr>
        <w:tabs>
          <w:tab w:val="left" w:pos="765"/>
        </w:tabs>
        <w:spacing w:line="360" w:lineRule="auto"/>
        <w:ind w:left="720"/>
        <w:jc w:val="both"/>
      </w:pPr>
    </w:p>
    <w:p w:rsidR="00185E99" w:rsidRDefault="00185E99">
      <w:pPr>
        <w:numPr>
          <w:ilvl w:val="0"/>
          <w:numId w:val="3"/>
        </w:numPr>
        <w:tabs>
          <w:tab w:val="left" w:pos="765"/>
        </w:tabs>
        <w:spacing w:line="360" w:lineRule="auto"/>
        <w:jc w:val="both"/>
      </w:pPr>
      <w:r>
        <w:rPr>
          <w:b/>
        </w:rPr>
        <w:t xml:space="preserve">Será aplicada a sanção de ADVERTÊNCIA, nas seguintes </w:t>
      </w:r>
      <w:r w:rsidR="0078612A">
        <w:rPr>
          <w:b/>
        </w:rPr>
        <w:t>condições,</w:t>
      </w:r>
      <w:r>
        <w:rPr>
          <w:b/>
        </w:rPr>
        <w:t xml:space="preserve"> dentre outras que possam causar prejuízo à PMNF:</w:t>
      </w:r>
    </w:p>
    <w:p w:rsidR="00185E99" w:rsidRDefault="00185E99">
      <w:pPr>
        <w:tabs>
          <w:tab w:val="left" w:pos="765"/>
        </w:tabs>
        <w:spacing w:line="360" w:lineRule="auto"/>
        <w:ind w:left="720"/>
        <w:jc w:val="both"/>
      </w:pPr>
      <w:r>
        <w:t>2.1-</w:t>
      </w:r>
      <w:r w:rsidR="0078612A">
        <w:t>Descumprimento</w:t>
      </w:r>
      <w:r>
        <w:t xml:space="preserve"> parcial das obrigações e responsabilidades assumidas contratualmente, e nas situações que ameacem a qualidade do produto ou serviço, ou a integridade patrimonial ou humana;</w:t>
      </w:r>
    </w:p>
    <w:p w:rsidR="00185E99" w:rsidRDefault="00185E99">
      <w:pPr>
        <w:tabs>
          <w:tab w:val="left" w:pos="765"/>
        </w:tabs>
        <w:spacing w:line="360" w:lineRule="auto"/>
        <w:ind w:left="720"/>
        <w:jc w:val="both"/>
      </w:pPr>
      <w:r>
        <w:t>2.2-</w:t>
      </w:r>
      <w:r w:rsidR="0078612A">
        <w:t>Na</w:t>
      </w:r>
      <w:r>
        <w:t xml:space="preserve"> primeira ocorrência de quaisquer dos itens relacionados na Tabela 2 abaixo;</w:t>
      </w:r>
    </w:p>
    <w:p w:rsidR="00185E99" w:rsidRDefault="00185E99">
      <w:pPr>
        <w:tabs>
          <w:tab w:val="left" w:pos="765"/>
        </w:tabs>
        <w:spacing w:line="360" w:lineRule="auto"/>
        <w:ind w:left="720"/>
        <w:jc w:val="both"/>
      </w:pPr>
      <w:r>
        <w:t>2.3-</w:t>
      </w:r>
      <w:r w:rsidR="0078612A">
        <w:t>A</w:t>
      </w:r>
      <w:r>
        <w:t xml:space="preserve"> qualquer tempo, se constatado atraso, injustificado, na obra de até 15% (quinze por cento) comparando-se o que foi efetivamente executado pela empresa e o cronograma físico-financeiro apresentado e aprovado pela fiscalização.</w:t>
      </w:r>
    </w:p>
    <w:p w:rsidR="00185E99" w:rsidRDefault="00185E99">
      <w:pPr>
        <w:tabs>
          <w:tab w:val="left" w:pos="765"/>
        </w:tabs>
        <w:spacing w:line="360" w:lineRule="auto"/>
        <w:ind w:left="720"/>
        <w:jc w:val="both"/>
      </w:pPr>
    </w:p>
    <w:p w:rsidR="00185E99" w:rsidRDefault="00185E99">
      <w:pPr>
        <w:numPr>
          <w:ilvl w:val="0"/>
          <w:numId w:val="3"/>
        </w:numPr>
        <w:tabs>
          <w:tab w:val="left" w:pos="426"/>
        </w:tabs>
        <w:spacing w:line="360" w:lineRule="auto"/>
        <w:jc w:val="both"/>
      </w:pPr>
      <w:r>
        <w:rPr>
          <w:b/>
        </w:rPr>
        <w:t>Será aplicada MULTA, nas seguintes condições;</w:t>
      </w:r>
    </w:p>
    <w:p w:rsidR="00185E99" w:rsidRDefault="00185E99">
      <w:pPr>
        <w:tabs>
          <w:tab w:val="left" w:pos="426"/>
        </w:tabs>
        <w:spacing w:line="360" w:lineRule="auto"/>
        <w:ind w:left="720"/>
        <w:jc w:val="both"/>
      </w:pPr>
      <w:r>
        <w:t xml:space="preserve">3.1-Caso haja a inexecução </w:t>
      </w:r>
      <w:r w:rsidR="0078612A">
        <w:t>parcial do</w:t>
      </w:r>
      <w:r>
        <w:t xml:space="preserve"> objeto será aplicada multa de até 1% (um por cento) sobre o saldo contratual ou R$ 15.000,00 </w:t>
      </w:r>
      <w:r w:rsidR="0078612A">
        <w:t>(quinze</w:t>
      </w:r>
      <w:r>
        <w:t xml:space="preserve"> mil reais), o que for maior.</w:t>
      </w:r>
    </w:p>
    <w:p w:rsidR="00185E99" w:rsidRDefault="00185E99">
      <w:pPr>
        <w:tabs>
          <w:tab w:val="left" w:pos="426"/>
        </w:tabs>
        <w:spacing w:line="360" w:lineRule="auto"/>
        <w:ind w:left="720"/>
        <w:jc w:val="both"/>
      </w:pPr>
      <w:r>
        <w:t>Para a inexecução total, a multa aplicada será de até 10% (dez por cento) sobre o valor total do contrato.</w:t>
      </w:r>
    </w:p>
    <w:p w:rsidR="00185E99" w:rsidRDefault="00185E99">
      <w:pPr>
        <w:tabs>
          <w:tab w:val="left" w:pos="426"/>
        </w:tabs>
        <w:spacing w:line="360" w:lineRule="auto"/>
        <w:ind w:left="720"/>
        <w:jc w:val="both"/>
      </w:pPr>
      <w:r>
        <w:t>Para o atraso injustificado na execução do objeto será aplicada a multa correspondente a R$ 1.000,00 por dia de atraso, limitada a R$ 30.000,00.</w:t>
      </w:r>
    </w:p>
    <w:p w:rsidR="00185E99" w:rsidRDefault="00185E99">
      <w:pPr>
        <w:tabs>
          <w:tab w:val="left" w:pos="426"/>
        </w:tabs>
        <w:spacing w:line="360" w:lineRule="auto"/>
        <w:ind w:left="720"/>
        <w:jc w:val="both"/>
      </w:pPr>
      <w:r>
        <w:t xml:space="preserve">3.1.1- Será configurada a </w:t>
      </w:r>
      <w:r>
        <w:rPr>
          <w:b/>
        </w:rPr>
        <w:t>inexecução parcial</w:t>
      </w:r>
      <w:r>
        <w:t xml:space="preserve"> do objeto, quando:</w:t>
      </w:r>
    </w:p>
    <w:p w:rsidR="00185E99" w:rsidRDefault="00185E99">
      <w:pPr>
        <w:tabs>
          <w:tab w:val="left" w:pos="426"/>
        </w:tabs>
        <w:spacing w:line="360" w:lineRule="auto"/>
        <w:ind w:left="720"/>
        <w:jc w:val="both"/>
      </w:pPr>
      <w:r>
        <w:lastRenderedPageBreak/>
        <w:t>a) a CONTRATADA deixar de executar, até o final do segundo mês do prazo de execução do objeto, 25% do previsto no cronograma físico-financeiro por ela apresentado e aprovado pela fiscalização.</w:t>
      </w:r>
    </w:p>
    <w:p w:rsidR="00185E99" w:rsidRDefault="00185E99">
      <w:pPr>
        <w:tabs>
          <w:tab w:val="left" w:pos="426"/>
        </w:tabs>
        <w:spacing w:line="360" w:lineRule="auto"/>
        <w:ind w:left="720"/>
        <w:jc w:val="both"/>
      </w:pPr>
      <w:r>
        <w:t>b) a CONTRATADA deixar de executar, até o final do terceiro mês do prazo de execução do objeto, 45% do previsto no cronograma físico-financeiro por ela apresentado e aprovado pela fiscalização.</w:t>
      </w:r>
    </w:p>
    <w:p w:rsidR="00185E99" w:rsidRDefault="00185E99">
      <w:pPr>
        <w:tabs>
          <w:tab w:val="left" w:pos="426"/>
        </w:tabs>
        <w:spacing w:line="360" w:lineRule="auto"/>
        <w:ind w:left="720"/>
        <w:jc w:val="both"/>
      </w:pPr>
      <w:r>
        <w:t xml:space="preserve">c) a </w:t>
      </w:r>
      <w:r w:rsidR="0078612A">
        <w:t>CONTRATADA deixar</w:t>
      </w:r>
      <w:r>
        <w:t xml:space="preserve"> de executar, até o final do quarto mês do prazo de execução do objeto, 65% do previsto no cronograma físico-financeiro por ela apresentado e aprovado pela fiscalização.</w:t>
      </w:r>
    </w:p>
    <w:p w:rsidR="00185E99" w:rsidRDefault="00185E99">
      <w:pPr>
        <w:tabs>
          <w:tab w:val="left" w:pos="426"/>
        </w:tabs>
        <w:spacing w:line="360" w:lineRule="auto"/>
        <w:ind w:left="720"/>
        <w:jc w:val="both"/>
      </w:pPr>
      <w:r>
        <w:t xml:space="preserve">d) a </w:t>
      </w:r>
      <w:r w:rsidR="0078612A">
        <w:t>CONTRATADA executar</w:t>
      </w:r>
      <w:r>
        <w:t xml:space="preserve">, ao final de 60 dias após o </w:t>
      </w:r>
      <w:r w:rsidR="0078612A">
        <w:t>término do</w:t>
      </w:r>
      <w:r>
        <w:t xml:space="preserve"> prazo de execução do objeto, percentual superior a 90% do previsto </w:t>
      </w:r>
      <w:r w:rsidR="0078612A">
        <w:t>no cronograma físico-financeiro,</w:t>
      </w:r>
      <w:r>
        <w:t xml:space="preserve"> porém inferior ao valor total do Contrato.</w:t>
      </w:r>
    </w:p>
    <w:p w:rsidR="00185E99" w:rsidRDefault="00185E99">
      <w:pPr>
        <w:tabs>
          <w:tab w:val="left" w:pos="426"/>
        </w:tabs>
        <w:spacing w:line="360" w:lineRule="auto"/>
        <w:ind w:left="720"/>
        <w:jc w:val="both"/>
      </w:pPr>
      <w:r>
        <w:t xml:space="preserve">3.1.2-Será configurada a </w:t>
      </w:r>
      <w:r>
        <w:rPr>
          <w:b/>
        </w:rPr>
        <w:t>inexecução total</w:t>
      </w:r>
      <w:r>
        <w:t xml:space="preserve"> do objeto quando houver atraso injustificado para o início dos serviços por mais de 30 (trinta) dias após a emissão do memorando de início.</w:t>
      </w:r>
    </w:p>
    <w:p w:rsidR="00185E99" w:rsidRDefault="00185E99">
      <w:pPr>
        <w:tabs>
          <w:tab w:val="left" w:pos="426"/>
        </w:tabs>
        <w:spacing w:line="360" w:lineRule="auto"/>
        <w:ind w:left="720"/>
        <w:jc w:val="both"/>
      </w:pPr>
      <w:r>
        <w:t>3.1.3-Os percentuais referidos no item 3.1.1, acima serão apurados com base na fórmula abaixo:</w:t>
      </w:r>
    </w:p>
    <w:p w:rsidR="00185E99" w:rsidRDefault="00185E99">
      <w:pPr>
        <w:tabs>
          <w:tab w:val="left" w:pos="426"/>
        </w:tabs>
        <w:spacing w:line="360" w:lineRule="auto"/>
        <w:ind w:left="720"/>
        <w:jc w:val="both"/>
      </w:pPr>
      <w:r>
        <w:t>PE=(VPCE/VPC)X100</w:t>
      </w:r>
    </w:p>
    <w:p w:rsidR="00185E99" w:rsidRDefault="00185E99">
      <w:pPr>
        <w:tabs>
          <w:tab w:val="left" w:pos="426"/>
        </w:tabs>
        <w:spacing w:line="360" w:lineRule="auto"/>
        <w:ind w:left="720"/>
        <w:jc w:val="both"/>
      </w:pPr>
      <w:r>
        <w:t xml:space="preserve">PE=percentual executado </w:t>
      </w:r>
    </w:p>
    <w:p w:rsidR="00185E99" w:rsidRDefault="00185E99">
      <w:pPr>
        <w:tabs>
          <w:tab w:val="left" w:pos="426"/>
        </w:tabs>
        <w:spacing w:line="360" w:lineRule="auto"/>
        <w:ind w:left="720"/>
        <w:jc w:val="both"/>
      </w:pPr>
      <w:r>
        <w:t>VPC=Valor a ser executado previsto no cronograma</w:t>
      </w:r>
    </w:p>
    <w:p w:rsidR="00185E99" w:rsidRDefault="00185E99">
      <w:pPr>
        <w:tabs>
          <w:tab w:val="left" w:pos="426"/>
        </w:tabs>
        <w:spacing w:line="360" w:lineRule="auto"/>
        <w:ind w:left="720"/>
        <w:jc w:val="both"/>
      </w:pPr>
      <w:r>
        <w:t>VPCE=Valor efetivamente executado no período previsto no cronograma</w:t>
      </w:r>
    </w:p>
    <w:p w:rsidR="00185E99" w:rsidRDefault="00185E99">
      <w:pPr>
        <w:tabs>
          <w:tab w:val="left" w:pos="426"/>
        </w:tabs>
        <w:spacing w:line="360" w:lineRule="auto"/>
        <w:ind w:left="720"/>
        <w:jc w:val="both"/>
      </w:pPr>
      <w:r>
        <w:t xml:space="preserve">3.1.4-Será configurado </w:t>
      </w:r>
      <w:r>
        <w:rPr>
          <w:b/>
        </w:rPr>
        <w:t>atraso injustificado</w:t>
      </w:r>
      <w:r>
        <w:t xml:space="preserve"> na execução da obra, quando:</w:t>
      </w:r>
    </w:p>
    <w:p w:rsidR="00185E99" w:rsidRDefault="00185E99">
      <w:pPr>
        <w:tabs>
          <w:tab w:val="left" w:pos="426"/>
        </w:tabs>
        <w:spacing w:line="360" w:lineRule="auto"/>
        <w:ind w:left="720"/>
        <w:jc w:val="both"/>
      </w:pPr>
      <w:r>
        <w:t>a. A CONTRATADA executar, até o final do segundo mês do prazo de execução do objeto, percentual  superior a 25% porém inferior a 40% do previsto;</w:t>
      </w:r>
    </w:p>
    <w:p w:rsidR="00185E99" w:rsidRDefault="00185E99">
      <w:pPr>
        <w:tabs>
          <w:tab w:val="left" w:pos="426"/>
        </w:tabs>
        <w:spacing w:line="360" w:lineRule="auto"/>
        <w:ind w:left="720"/>
        <w:jc w:val="both"/>
      </w:pPr>
      <w:r>
        <w:t xml:space="preserve">b. A CONTRATADA executar, até o prazo de execução e conclusão da obra percentual superior a 80% porém inferior a 90% do valor do Contrato; </w:t>
      </w:r>
    </w:p>
    <w:p w:rsidR="00185E99" w:rsidRDefault="00185E99">
      <w:pPr>
        <w:tabs>
          <w:tab w:val="left" w:pos="426"/>
        </w:tabs>
        <w:spacing w:line="360" w:lineRule="auto"/>
        <w:ind w:left="720"/>
        <w:jc w:val="both"/>
      </w:pPr>
      <w:r>
        <w:t>c. A CONTRATADA executar, ao final de 60 ( sessenta ) dias após o término do prazo fixado para a conclusão da obra, percentual superior a 90% porém inferior ao valor do Contrato.</w:t>
      </w:r>
    </w:p>
    <w:p w:rsidR="00185E99" w:rsidRDefault="00185E99">
      <w:pPr>
        <w:tabs>
          <w:tab w:val="left" w:pos="765"/>
        </w:tabs>
        <w:spacing w:line="360" w:lineRule="auto"/>
        <w:jc w:val="both"/>
      </w:pPr>
      <w:r>
        <w:tab/>
        <w:t>3.1.5 – Os dias de atraso injustificado de que trata o item 3.2.1 serão calculados observando-se o seguinte critério;</w:t>
      </w:r>
    </w:p>
    <w:p w:rsidR="00185E99" w:rsidRDefault="00185E99">
      <w:pPr>
        <w:tabs>
          <w:tab w:val="left" w:pos="765"/>
        </w:tabs>
        <w:spacing w:line="360" w:lineRule="auto"/>
        <w:jc w:val="both"/>
      </w:pPr>
      <w:r>
        <w:lastRenderedPageBreak/>
        <w:tab/>
        <w:t>Da=DPC x (VPC-VPCE)/VPC</w:t>
      </w:r>
    </w:p>
    <w:p w:rsidR="00185E99" w:rsidRDefault="00185E99">
      <w:pPr>
        <w:tabs>
          <w:tab w:val="left" w:pos="765"/>
        </w:tabs>
        <w:spacing w:line="360" w:lineRule="auto"/>
        <w:jc w:val="both"/>
      </w:pPr>
      <w:r>
        <w:tab/>
        <w:t>Da= dias de atraso</w:t>
      </w:r>
    </w:p>
    <w:p w:rsidR="00185E99" w:rsidRDefault="00185E99">
      <w:pPr>
        <w:tabs>
          <w:tab w:val="left" w:pos="765"/>
        </w:tabs>
        <w:spacing w:line="360" w:lineRule="auto"/>
        <w:jc w:val="both"/>
      </w:pPr>
      <w:r>
        <w:tab/>
        <w:t>DPC=dias previstos no cronograma para a conclusão</w:t>
      </w:r>
    </w:p>
    <w:p w:rsidR="00185E99" w:rsidRDefault="00185E99">
      <w:pPr>
        <w:tabs>
          <w:tab w:val="left" w:pos="426"/>
        </w:tabs>
        <w:spacing w:line="360" w:lineRule="auto"/>
        <w:ind w:left="720"/>
        <w:jc w:val="both"/>
      </w:pPr>
      <w:r>
        <w:t>VPC= Valor a ser executado previsto no cronograma</w:t>
      </w:r>
    </w:p>
    <w:p w:rsidR="00185E99" w:rsidRDefault="00185E99">
      <w:pPr>
        <w:tabs>
          <w:tab w:val="left" w:pos="426"/>
        </w:tabs>
        <w:spacing w:line="360" w:lineRule="auto"/>
        <w:ind w:left="720"/>
        <w:jc w:val="both"/>
      </w:pPr>
      <w:r>
        <w:t>VPCE=Valor efetivamente executado no período previsto no cronograma</w:t>
      </w:r>
    </w:p>
    <w:p w:rsidR="00185E99" w:rsidRDefault="00185E99">
      <w:pPr>
        <w:tabs>
          <w:tab w:val="left" w:pos="765"/>
        </w:tabs>
        <w:spacing w:line="360" w:lineRule="auto"/>
        <w:jc w:val="both"/>
      </w:pPr>
      <w:r>
        <w:tab/>
        <w:t>3.2-Além das multas previstas no item 3.1 e subitens, poderão ser aplicadas multas, conforme previsto no item 1,segundo graus e eventos descritos nas tabelas 1 e 2 abaixo.</w:t>
      </w:r>
    </w:p>
    <w:p w:rsidR="00185E99" w:rsidRDefault="00185E99">
      <w:pPr>
        <w:tabs>
          <w:tab w:val="left" w:pos="765"/>
        </w:tabs>
        <w:jc w:val="both"/>
        <w:rPr>
          <w:b/>
          <w:szCs w:val="24"/>
        </w:rPr>
      </w:pPr>
      <w:r>
        <w:rPr>
          <w:b/>
          <w:bCs/>
          <w:szCs w:val="24"/>
        </w:rPr>
        <w:t>TABELA 1</w:t>
      </w:r>
    </w:p>
    <w:tbl>
      <w:tblPr>
        <w:tblW w:w="0" w:type="auto"/>
        <w:tblInd w:w="-20" w:type="dxa"/>
        <w:tblLayout w:type="fixed"/>
        <w:tblLook w:val="0000"/>
      </w:tblPr>
      <w:tblGrid>
        <w:gridCol w:w="4748"/>
        <w:gridCol w:w="4788"/>
      </w:tblGrid>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GRAU</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CORRESPONDÊNCIA</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1</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R$ 300,00</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2</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R$ 500,00</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3</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R$ 700,00</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4</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R$ 900,00</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5</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R$ 5.000,00</w:t>
            </w:r>
          </w:p>
        </w:tc>
      </w:tr>
      <w:tr w:rsidR="00185E99">
        <w:tc>
          <w:tcPr>
            <w:tcW w:w="4748"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b/>
                <w:szCs w:val="24"/>
              </w:rPr>
            </w:pPr>
            <w:r>
              <w:rPr>
                <w:b/>
                <w:szCs w:val="24"/>
              </w:rPr>
              <w:t>6</w:t>
            </w:r>
          </w:p>
        </w:tc>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R$ 10.000,00</w:t>
            </w:r>
          </w:p>
        </w:tc>
      </w:tr>
    </w:tbl>
    <w:p w:rsidR="00185E99" w:rsidRDefault="00185E99">
      <w:pPr>
        <w:tabs>
          <w:tab w:val="left" w:pos="765"/>
        </w:tabs>
        <w:jc w:val="both"/>
        <w:rPr>
          <w:szCs w:val="24"/>
        </w:rPr>
      </w:pPr>
    </w:p>
    <w:p w:rsidR="00185E99" w:rsidRDefault="00185E99">
      <w:pPr>
        <w:tabs>
          <w:tab w:val="left" w:pos="765"/>
        </w:tabs>
        <w:jc w:val="both"/>
        <w:rPr>
          <w:b/>
          <w:szCs w:val="24"/>
        </w:rPr>
      </w:pPr>
      <w:r>
        <w:rPr>
          <w:b/>
          <w:szCs w:val="24"/>
        </w:rPr>
        <w:t>TABELA 2</w:t>
      </w:r>
    </w:p>
    <w:tbl>
      <w:tblPr>
        <w:tblW w:w="0" w:type="auto"/>
        <w:tblInd w:w="-20" w:type="dxa"/>
        <w:tblLayout w:type="fixed"/>
        <w:tblLook w:val="0000"/>
      </w:tblPr>
      <w:tblGrid>
        <w:gridCol w:w="1101"/>
        <w:gridCol w:w="7229"/>
        <w:gridCol w:w="1206"/>
      </w:tblGrid>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b/>
                <w:szCs w:val="24"/>
              </w:rPr>
              <w:t>ITEM</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b/>
                <w:szCs w:val="24"/>
              </w:rPr>
              <w:t>DESCRIÇÃO</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both"/>
            </w:pPr>
            <w:r>
              <w:rPr>
                <w:b/>
                <w:szCs w:val="24"/>
              </w:rPr>
              <w:t>GRAU</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1</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Permitir a presença de empregados sem uniforme e EPI.(por empregado e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1</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2</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Manter funcionário sem qualificação (por empregado e por dia)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1</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3</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Executar serviço incompleto, utilizar paliativos em caráter permanente, não providenciar as recomposições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2</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4</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Suspender ou interromper, salvo motivo de força maior ou caso fortuito,os serviços contratados.(por dia e por serviço suspenso)</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3</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5</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Permitir situação que crie ou possibilite a ocorrência de dano físico ou material aos funcionários e/ou a terceiros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3</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6</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Adiar o início da execução de serviços determinados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3</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7</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Idem se for identificada má-fé na busca por reajustes contratuais</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8</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Manter funcionário sem carteira assinada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9</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Induzir a fiscalização a erro (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6</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snapToGrid w:val="0"/>
              <w:jc w:val="center"/>
              <w:rPr>
                <w:b/>
                <w:szCs w:val="24"/>
              </w:rPr>
            </w:pP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b/>
                <w:szCs w:val="24"/>
              </w:rPr>
              <w:t>Para os itens seguintes, deixar de</w:t>
            </w:r>
            <w:r>
              <w:rPr>
                <w:szCs w:val="24"/>
              </w:rPr>
              <w:t>:</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snapToGrid w:val="0"/>
              <w:jc w:val="center"/>
              <w:rPr>
                <w:b/>
                <w:szCs w:val="24"/>
              </w:rPr>
            </w:pP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1</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Apresentar a ART dos profissionais no prazo solicitado (15 dias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1</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2</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Apresentar os documentos do adimplemento no prazo (10 dias)</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2</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3</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Manter o DIÁRIO DE OBRAS atualizado (para cada 30 dias)</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3</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4</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Apresentar os boletins de concreto (para cada 30 dias)</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4</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5</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Fornecer o EPI e registrar a obrigatoriedade de uso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6</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 xml:space="preserve">Apresentar a fiscalização pedido formal de subcontratação (por ocorrência)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7</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Manter engenheiro/arquiteto como responsável técnico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8</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Efetuar o pagamento dos funcionários com todos os benefícios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5</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lastRenderedPageBreak/>
              <w:t>9</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 xml:space="preserve">Apresentar o pedido de prorrogação de prazo e ou aditivos de valores de forma intempestiva. (por ocorrência)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6</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10</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Efetuar os pagamentos devidos aos subcontratados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6</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11</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Atender as determinações da fiscalização previamente a emissão do TERMO DE ACEITAÇÃO PROVISÓRIA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pPr>
            <w:r>
              <w:rPr>
                <w:b/>
                <w:szCs w:val="24"/>
              </w:rPr>
              <w:t>6</w:t>
            </w:r>
          </w:p>
        </w:tc>
      </w:tr>
      <w:tr w:rsidR="00185E99">
        <w:tc>
          <w:tcPr>
            <w:tcW w:w="1101"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center"/>
              <w:rPr>
                <w:szCs w:val="24"/>
              </w:rPr>
            </w:pPr>
            <w:r>
              <w:rPr>
                <w:szCs w:val="24"/>
              </w:rPr>
              <w:t>12</w:t>
            </w:r>
          </w:p>
        </w:tc>
        <w:tc>
          <w:tcPr>
            <w:tcW w:w="7229" w:type="dxa"/>
            <w:tcBorders>
              <w:top w:val="single" w:sz="4" w:space="0" w:color="000000"/>
              <w:left w:val="single" w:sz="4" w:space="0" w:color="000000"/>
              <w:bottom w:val="single" w:sz="4" w:space="0" w:color="000000"/>
            </w:tcBorders>
            <w:shd w:val="clear" w:color="auto" w:fill="auto"/>
          </w:tcPr>
          <w:p w:rsidR="00185E99" w:rsidRDefault="00185E99">
            <w:pPr>
              <w:tabs>
                <w:tab w:val="left" w:pos="765"/>
              </w:tabs>
              <w:jc w:val="both"/>
              <w:rPr>
                <w:b/>
                <w:szCs w:val="24"/>
              </w:rPr>
            </w:pPr>
            <w:r>
              <w:rPr>
                <w:szCs w:val="24"/>
              </w:rPr>
              <w:t>Atender as determinações da fiscalização previamente a emissão do TERMO DE ACEITAÇÃO DEFINITIVA (por ocorrência)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185E99" w:rsidRDefault="00185E99">
            <w:pPr>
              <w:tabs>
                <w:tab w:val="left" w:pos="765"/>
              </w:tabs>
              <w:jc w:val="center"/>
              <w:rPr>
                <w:b/>
                <w:szCs w:val="24"/>
              </w:rPr>
            </w:pPr>
            <w:r>
              <w:rPr>
                <w:b/>
                <w:szCs w:val="24"/>
              </w:rPr>
              <w:t>6</w:t>
            </w:r>
          </w:p>
          <w:p w:rsidR="00185E99" w:rsidRDefault="00185E99">
            <w:pPr>
              <w:tabs>
                <w:tab w:val="left" w:pos="765"/>
              </w:tabs>
              <w:jc w:val="center"/>
              <w:rPr>
                <w:b/>
                <w:szCs w:val="24"/>
              </w:rPr>
            </w:pPr>
          </w:p>
        </w:tc>
      </w:tr>
    </w:tbl>
    <w:p w:rsidR="00185E99" w:rsidRDefault="00185E99">
      <w:pPr>
        <w:tabs>
          <w:tab w:val="left" w:pos="765"/>
        </w:tabs>
        <w:jc w:val="both"/>
        <w:rPr>
          <w:szCs w:val="24"/>
        </w:rPr>
      </w:pPr>
    </w:p>
    <w:p w:rsidR="00185E99" w:rsidRDefault="00185E99">
      <w:pPr>
        <w:tabs>
          <w:tab w:val="left" w:pos="765"/>
        </w:tabs>
        <w:spacing w:line="360" w:lineRule="auto"/>
        <w:jc w:val="both"/>
      </w:pPr>
      <w:r>
        <w:tab/>
        <w:t xml:space="preserve">3.3-O somatório de todas as multas aplicadas ao longo da execução contratual não poderá exceder o percentual de 20% sobre o valor total do contrato. Superado este limite, a Administração poderá declarar a </w:t>
      </w:r>
      <w:r>
        <w:rPr>
          <w:b/>
          <w:bCs/>
        </w:rPr>
        <w:t>inexecução total</w:t>
      </w:r>
      <w:r>
        <w:t xml:space="preserve"> do contrato.</w:t>
      </w:r>
    </w:p>
    <w:p w:rsidR="00185E99" w:rsidRDefault="00185E99">
      <w:pPr>
        <w:tabs>
          <w:tab w:val="left" w:pos="765"/>
        </w:tabs>
        <w:spacing w:line="360" w:lineRule="auto"/>
        <w:jc w:val="both"/>
      </w:pPr>
    </w:p>
    <w:p w:rsidR="00185E99" w:rsidRDefault="00185E99">
      <w:pPr>
        <w:tabs>
          <w:tab w:val="left" w:pos="765"/>
        </w:tabs>
        <w:spacing w:line="360" w:lineRule="auto"/>
        <w:jc w:val="both"/>
      </w:pPr>
      <w:r>
        <w:tab/>
      </w:r>
      <w:r>
        <w:rPr>
          <w:b/>
        </w:rPr>
        <w:t>4</w:t>
      </w:r>
      <w:r>
        <w:t>-</w:t>
      </w:r>
      <w:r>
        <w:rPr>
          <w:b/>
        </w:rPr>
        <w:t>Suspensão temporária de participar de licitação e impedimento de contratar com a PMNF.</w:t>
      </w:r>
    </w:p>
    <w:p w:rsidR="00185E99" w:rsidRDefault="00185E99">
      <w:pPr>
        <w:tabs>
          <w:tab w:val="left" w:pos="765"/>
        </w:tabs>
        <w:spacing w:line="360" w:lineRule="auto"/>
        <w:jc w:val="both"/>
      </w:pPr>
      <w:r>
        <w:tab/>
        <w:t xml:space="preserve">4.1- A sanção de suspensão do direito de licitar  e de contratar com a PMNF, de que trata o inciso III art.º 87 da Lei 8666/93,poderá ser aplicada à CONTRATADA, por culpa ou dolo, por até 2(dois) anos, no caso de </w:t>
      </w:r>
      <w:r>
        <w:rPr>
          <w:b/>
        </w:rPr>
        <w:t>inexecução parcial do objeto</w:t>
      </w:r>
      <w:r>
        <w:t>, conforme previsto no item 3.1.1 desta cláusula.</w:t>
      </w:r>
    </w:p>
    <w:p w:rsidR="00185E99" w:rsidRDefault="00185E99">
      <w:pPr>
        <w:tabs>
          <w:tab w:val="left" w:pos="765"/>
        </w:tabs>
        <w:spacing w:line="360" w:lineRule="auto"/>
        <w:jc w:val="both"/>
      </w:pPr>
      <w:r>
        <w:tab/>
        <w:t>O CONTRATO poderá ser rescindido unilateralmente pela Administração.</w:t>
      </w:r>
    </w:p>
    <w:p w:rsidR="00185E99" w:rsidRDefault="00185E99">
      <w:pPr>
        <w:tabs>
          <w:tab w:val="left" w:pos="765"/>
        </w:tabs>
        <w:spacing w:line="360" w:lineRule="auto"/>
        <w:jc w:val="both"/>
      </w:pPr>
    </w:p>
    <w:p w:rsidR="00185E99" w:rsidRDefault="00185E99">
      <w:pPr>
        <w:tabs>
          <w:tab w:val="left" w:pos="765"/>
        </w:tabs>
        <w:spacing w:line="360" w:lineRule="auto"/>
        <w:jc w:val="both"/>
      </w:pPr>
      <w:r>
        <w:tab/>
      </w:r>
      <w:r>
        <w:rPr>
          <w:b/>
        </w:rPr>
        <w:t>5-Declaração de inidoneidade para licitar ou contratar com a Administração Pública:</w:t>
      </w:r>
    </w:p>
    <w:p w:rsidR="00185E99" w:rsidRDefault="00185E99">
      <w:pPr>
        <w:tabs>
          <w:tab w:val="left" w:pos="765"/>
        </w:tabs>
        <w:spacing w:line="360" w:lineRule="auto"/>
        <w:jc w:val="both"/>
      </w:pPr>
      <w:r>
        <w:tab/>
        <w:t>5.1-A sanção de declaração de inidoneidade para licitar ou contratar com a Administração Pública, prevista no inciso IV,art 87 da Lei 8666/93, poderá ser aplicada dentre outros casos quando:</w:t>
      </w:r>
    </w:p>
    <w:p w:rsidR="00185E99" w:rsidRDefault="00185E99">
      <w:pPr>
        <w:tabs>
          <w:tab w:val="left" w:pos="765"/>
        </w:tabs>
        <w:spacing w:line="360" w:lineRule="auto"/>
        <w:jc w:val="both"/>
      </w:pPr>
      <w:r>
        <w:tab/>
        <w:t>5.1.1- Tiver sofrido condenação definitiva por ter praticado, por meios dolosos, fraude fiscal no recolhimento de quaisquer tributos;</w:t>
      </w:r>
    </w:p>
    <w:p w:rsidR="00185E99" w:rsidRDefault="00185E99">
      <w:pPr>
        <w:tabs>
          <w:tab w:val="left" w:pos="765"/>
        </w:tabs>
        <w:spacing w:line="360" w:lineRule="auto"/>
        <w:jc w:val="both"/>
      </w:pPr>
      <w:r>
        <w:tab/>
        <w:t>5.1.2- Praticar atos ilícitos, visando frustrar a licitação;</w:t>
      </w:r>
    </w:p>
    <w:p w:rsidR="00185E99" w:rsidRDefault="00185E99">
      <w:pPr>
        <w:tabs>
          <w:tab w:val="left" w:pos="765"/>
        </w:tabs>
        <w:spacing w:line="360" w:lineRule="auto"/>
        <w:jc w:val="both"/>
      </w:pPr>
      <w:r>
        <w:tab/>
        <w:t>5.1.3- Apresentação à PMNF, de documento falso ou falsificado no todo ou em parte com o objetivo de participar de licitação ou para comprovar a manutenção das condições apresentadas na habilitação;</w:t>
      </w:r>
    </w:p>
    <w:p w:rsidR="00185E99" w:rsidRDefault="00185E99">
      <w:pPr>
        <w:tabs>
          <w:tab w:val="left" w:pos="765"/>
        </w:tabs>
        <w:spacing w:line="360" w:lineRule="auto"/>
        <w:jc w:val="both"/>
      </w:pPr>
      <w:r>
        <w:tab/>
        <w:t xml:space="preserve">5.1.4- </w:t>
      </w:r>
      <w:r>
        <w:rPr>
          <w:b/>
        </w:rPr>
        <w:t>Inexecução total do objeto</w:t>
      </w:r>
      <w:r>
        <w:t>, conforme previsto no item 3.1.2.</w:t>
      </w:r>
    </w:p>
    <w:p w:rsidR="006012A1" w:rsidRDefault="00185E99">
      <w:pPr>
        <w:tabs>
          <w:tab w:val="left" w:pos="765"/>
        </w:tabs>
        <w:spacing w:line="360" w:lineRule="auto"/>
        <w:jc w:val="both"/>
      </w:pPr>
      <w:r>
        <w:tab/>
        <w:t>O CONTRATO será rescindido unilateralmente pela Administração.</w:t>
      </w:r>
    </w:p>
    <w:p w:rsidR="006012A1" w:rsidRDefault="006012A1">
      <w:pPr>
        <w:tabs>
          <w:tab w:val="left" w:pos="765"/>
        </w:tabs>
        <w:spacing w:line="360" w:lineRule="auto"/>
        <w:jc w:val="both"/>
      </w:pPr>
    </w:p>
    <w:p w:rsidR="0078612A" w:rsidRDefault="00185E99">
      <w:pPr>
        <w:tabs>
          <w:tab w:val="left" w:pos="765"/>
        </w:tabs>
        <w:spacing w:line="360" w:lineRule="auto"/>
        <w:jc w:val="center"/>
      </w:pPr>
      <w:r>
        <w:lastRenderedPageBreak/>
        <w:tab/>
      </w:r>
    </w:p>
    <w:p w:rsidR="00185E99" w:rsidRDefault="00185E99">
      <w:pPr>
        <w:tabs>
          <w:tab w:val="left" w:pos="765"/>
        </w:tabs>
        <w:spacing w:line="360" w:lineRule="auto"/>
        <w:jc w:val="center"/>
      </w:pPr>
      <w:r>
        <w:rPr>
          <w:b/>
          <w:bCs/>
          <w:sz w:val="28"/>
          <w:szCs w:val="28"/>
          <w:u w:val="single"/>
        </w:rPr>
        <w:t>Observações:</w:t>
      </w:r>
    </w:p>
    <w:p w:rsidR="00185E99" w:rsidRDefault="00185E99">
      <w:pPr>
        <w:tabs>
          <w:tab w:val="left" w:pos="765"/>
        </w:tabs>
        <w:spacing w:line="360" w:lineRule="auto"/>
        <w:jc w:val="center"/>
      </w:pPr>
    </w:p>
    <w:p w:rsidR="00185E99" w:rsidRDefault="00185E99">
      <w:pPr>
        <w:numPr>
          <w:ilvl w:val="0"/>
          <w:numId w:val="2"/>
        </w:numPr>
        <w:tabs>
          <w:tab w:val="left" w:pos="765"/>
        </w:tabs>
        <w:spacing w:line="360" w:lineRule="auto"/>
        <w:jc w:val="both"/>
      </w:pPr>
      <w:r>
        <w:t>As sanções de advertência, de suspensão temporária do direito de contratar com a PMNF e a declaração de inidoneidade para licitar ou contratar com a Administração Pública poderão ser aplicadas à Contratada juntamente com a de multa.</w:t>
      </w:r>
    </w:p>
    <w:p w:rsidR="00185E99" w:rsidRDefault="00185E99">
      <w:pPr>
        <w:tabs>
          <w:tab w:val="left" w:pos="765"/>
        </w:tabs>
        <w:spacing w:line="360" w:lineRule="auto"/>
        <w:jc w:val="both"/>
      </w:pPr>
    </w:p>
    <w:p w:rsidR="00185E99" w:rsidRDefault="00185E99">
      <w:pPr>
        <w:numPr>
          <w:ilvl w:val="0"/>
          <w:numId w:val="2"/>
        </w:numPr>
        <w:tabs>
          <w:tab w:val="left" w:pos="765"/>
        </w:tabs>
        <w:spacing w:line="360" w:lineRule="auto"/>
        <w:jc w:val="both"/>
      </w:pPr>
      <w:r>
        <w:t>O valor da multa poderá ser descontado do pagamento a ser efetuado ao Contratado.</w:t>
      </w:r>
    </w:p>
    <w:p w:rsidR="00185E99" w:rsidRDefault="00185E99">
      <w:pPr>
        <w:tabs>
          <w:tab w:val="left" w:pos="765"/>
        </w:tabs>
        <w:spacing w:line="360" w:lineRule="auto"/>
        <w:ind w:left="720"/>
        <w:jc w:val="both"/>
      </w:pPr>
      <w:r>
        <w:t>2.1-Se o valor do pagamento for insuficiente, fica o Contratado obrigado a recolher a importância devida no prazo de 15 dias, contados da comunicação oficial.</w:t>
      </w:r>
    </w:p>
    <w:p w:rsidR="00185E99" w:rsidRDefault="00185E99">
      <w:pPr>
        <w:tabs>
          <w:tab w:val="left" w:pos="765"/>
        </w:tabs>
        <w:spacing w:line="360" w:lineRule="auto"/>
        <w:ind w:left="720"/>
        <w:jc w:val="both"/>
      </w:pPr>
    </w:p>
    <w:p w:rsidR="00185E99" w:rsidRDefault="00185E99">
      <w:pPr>
        <w:numPr>
          <w:ilvl w:val="0"/>
          <w:numId w:val="2"/>
        </w:numPr>
        <w:tabs>
          <w:tab w:val="left" w:pos="765"/>
        </w:tabs>
        <w:spacing w:line="360" w:lineRule="auto"/>
        <w:jc w:val="both"/>
      </w:pPr>
      <w:r>
        <w:t>Qualificação Técnica:</w:t>
      </w:r>
    </w:p>
    <w:p w:rsidR="00185E99" w:rsidRDefault="00185E99">
      <w:pPr>
        <w:numPr>
          <w:ilvl w:val="1"/>
          <w:numId w:val="5"/>
        </w:numPr>
        <w:tabs>
          <w:tab w:val="left" w:pos="765"/>
        </w:tabs>
        <w:spacing w:line="360" w:lineRule="auto"/>
        <w:jc w:val="both"/>
      </w:pPr>
      <w:r>
        <w:t>– Registros:</w:t>
      </w:r>
    </w:p>
    <w:p w:rsidR="00185E99" w:rsidRDefault="00185E99">
      <w:pPr>
        <w:tabs>
          <w:tab w:val="left" w:pos="765"/>
        </w:tabs>
        <w:spacing w:line="360" w:lineRule="auto"/>
        <w:ind w:left="1077"/>
        <w:jc w:val="both"/>
      </w:pPr>
      <w:r>
        <w:t xml:space="preserve">Certidões de registro do licitante no conselho regional de engenharia e agronomia (CREA) ou conselho regional de arquitetura (CAU), que habilite a empresa nos ramos de engenharia civil com validade para o presente exercício. Caso a licitante seja de outro estado da federação, será necessário o visto do CREA/CAU-RJ, quando da assinatura do contrato. </w:t>
      </w:r>
    </w:p>
    <w:p w:rsidR="00185E99" w:rsidRDefault="00185E99">
      <w:pPr>
        <w:numPr>
          <w:ilvl w:val="1"/>
          <w:numId w:val="5"/>
        </w:numPr>
        <w:tabs>
          <w:tab w:val="left" w:pos="765"/>
        </w:tabs>
        <w:spacing w:line="360" w:lineRule="auto"/>
        <w:jc w:val="both"/>
      </w:pPr>
      <w:r>
        <w:t>– Qualificação Técnico-Profissional:</w:t>
      </w:r>
    </w:p>
    <w:p w:rsidR="00185E99" w:rsidRDefault="00185E99">
      <w:pPr>
        <w:tabs>
          <w:tab w:val="left" w:pos="765"/>
        </w:tabs>
        <w:spacing w:line="360" w:lineRule="auto"/>
        <w:ind w:left="1077"/>
        <w:jc w:val="both"/>
      </w:pPr>
      <w:r>
        <w:t>Prova de possuir, no seu quadro permanente, na data da licitação ao menos um profissional de nível superior detentor de Atestado de Capacidade Técnica, fornecido por pessoa jurídica de direito público ou privado, acompanhado de Certidão de Acervo Técnico (CAT) expedida pelo CREA/CAU, demonstrando sua aptidão por já haver sido responsável técnico por atividade pertinente e compatível em características com o objeto da Licitação.</w:t>
      </w:r>
    </w:p>
    <w:p w:rsidR="00185E99" w:rsidRDefault="39983D20">
      <w:pPr>
        <w:tabs>
          <w:tab w:val="left" w:pos="765"/>
        </w:tabs>
        <w:spacing w:line="360" w:lineRule="auto"/>
        <w:ind w:left="1077"/>
        <w:jc w:val="both"/>
      </w:pPr>
      <w:r>
        <w:t>As parcelas de maior relevância para capacitação profissional são os serviços/obras de números/itens 8.1, 8.4 e 8.5 da planilha orçamentária.</w:t>
      </w:r>
    </w:p>
    <w:p w:rsidR="00185E99" w:rsidRDefault="00185E99">
      <w:pPr>
        <w:tabs>
          <w:tab w:val="left" w:pos="765"/>
        </w:tabs>
        <w:spacing w:line="360" w:lineRule="auto"/>
        <w:ind w:left="1077"/>
        <w:jc w:val="both"/>
      </w:pPr>
    </w:p>
    <w:p w:rsidR="00185E99" w:rsidRDefault="00185E99">
      <w:pPr>
        <w:numPr>
          <w:ilvl w:val="1"/>
          <w:numId w:val="5"/>
        </w:numPr>
        <w:tabs>
          <w:tab w:val="left" w:pos="765"/>
        </w:tabs>
        <w:spacing w:line="360" w:lineRule="auto"/>
        <w:jc w:val="both"/>
      </w:pPr>
      <w:r>
        <w:t>– Vínculo Profissional:</w:t>
      </w:r>
    </w:p>
    <w:p w:rsidR="00185E99" w:rsidRDefault="00185E99">
      <w:pPr>
        <w:tabs>
          <w:tab w:val="left" w:pos="765"/>
        </w:tabs>
        <w:spacing w:line="360" w:lineRule="auto"/>
        <w:ind w:left="1077"/>
        <w:jc w:val="both"/>
        <w:rPr>
          <w:lang w:eastAsia="pt-BR"/>
        </w:rPr>
      </w:pPr>
      <w:r>
        <w:t xml:space="preserve">A comprovação de que o(s) detentor(es) do(s) referido(s) Atestado(s) de Responsabilidade Técnica é(são) vinculado(s) à licitante deverá ser feita através de </w:t>
      </w:r>
      <w:r>
        <w:lastRenderedPageBreak/>
        <w:t xml:space="preserve">cópia de seu registro de empregado, da(s) certidão(ões) de Registro do CREA/CAU, do(s) contrato(s) particular(s) de prestação de serviços, do(s) contrato(s) de trabalho por prazo determinado ou através de outros instrumentos que comprovem a existência de um liame jurídico entre a licitante e o(s) profissional(ais) qualificado(s). Em se tratando de sócio da empresa, o Contrato Social do licitante comprovará o vínculo. </w:t>
      </w:r>
    </w:p>
    <w:p w:rsidR="00185E99" w:rsidRDefault="00185E99">
      <w:pPr>
        <w:tabs>
          <w:tab w:val="left" w:pos="765"/>
        </w:tabs>
        <w:spacing w:line="360" w:lineRule="auto"/>
        <w:ind w:left="1077"/>
        <w:jc w:val="both"/>
      </w:pPr>
      <w:r>
        <w:rPr>
          <w:lang w:eastAsia="pt-BR"/>
        </w:rPr>
        <w:t>O profissional indicado será apresentado à fiscalização no momento do início das obras, podendo ser substituído por outro com as mesmas qualificações técnicas profissionais exigidas na forma acima.</w:t>
      </w:r>
    </w:p>
    <w:p w:rsidR="00185E99" w:rsidRDefault="00185E99">
      <w:pPr>
        <w:tabs>
          <w:tab w:val="left" w:pos="765"/>
        </w:tabs>
        <w:spacing w:line="360" w:lineRule="auto"/>
        <w:ind w:left="1077"/>
        <w:jc w:val="both"/>
      </w:pPr>
    </w:p>
    <w:p w:rsidR="00185E99" w:rsidRDefault="00185E99">
      <w:pPr>
        <w:numPr>
          <w:ilvl w:val="1"/>
          <w:numId w:val="5"/>
        </w:numPr>
        <w:tabs>
          <w:tab w:val="left" w:pos="765"/>
        </w:tabs>
        <w:spacing w:line="360" w:lineRule="auto"/>
        <w:jc w:val="both"/>
      </w:pPr>
      <w:r>
        <w:t>– Qualificação Técnico-Operacional:</w:t>
      </w:r>
    </w:p>
    <w:p w:rsidR="00185E99" w:rsidRDefault="00185E99">
      <w:pPr>
        <w:tabs>
          <w:tab w:val="left" w:pos="765"/>
        </w:tabs>
        <w:spacing w:line="360" w:lineRule="auto"/>
        <w:jc w:val="both"/>
      </w:pPr>
    </w:p>
    <w:p w:rsidR="00185E99" w:rsidRDefault="39983D20">
      <w:pPr>
        <w:tabs>
          <w:tab w:val="left" w:pos="765"/>
        </w:tabs>
        <w:spacing w:line="360" w:lineRule="auto"/>
        <w:ind w:left="1077"/>
        <w:jc w:val="both"/>
      </w:pPr>
      <w:r>
        <w:t>Para fins de comprovação de capacidade técnico-operacional da empresa, deverá ser apresentado atestado firmado por órgão público ou por empresa privada, e registrado no CREA/CAU, comprovando haver a empresa licitante executado serviços de características semelhantes e de complexidade tecnológica e operacional equivalente ou superior a da presente licitação, cujas parcelas de maior relevância, para habilitação das empresas participantes, são os seguintes: itens 8.1, 8.4 e 8.5 da planilha orçamentária. Não serão exigidos quantitativos. “as parcelas de maior relevância não poderão ser subcontratadas” (redação alterada por determinação TCE-RJ Processo no. 827.715-9/2016).</w:t>
      </w:r>
    </w:p>
    <w:p w:rsidR="00185E99" w:rsidRDefault="00185E99">
      <w:pPr>
        <w:tabs>
          <w:tab w:val="left" w:pos="765"/>
        </w:tabs>
        <w:spacing w:line="360" w:lineRule="auto"/>
        <w:ind w:left="1077"/>
        <w:jc w:val="both"/>
      </w:pPr>
    </w:p>
    <w:p w:rsidR="00185E99" w:rsidRDefault="00185E99">
      <w:pPr>
        <w:spacing w:line="360" w:lineRule="auto"/>
        <w:ind w:left="426" w:firstLine="294"/>
        <w:jc w:val="both"/>
      </w:pPr>
      <w:r>
        <w:rPr>
          <w:b/>
          <w:i/>
        </w:rPr>
        <w:t>Em todas as sanções aplicadas, observar-se-á o princípio do contraditório e a ampla defesa, em processo administrativo autônomo.</w:t>
      </w:r>
    </w:p>
    <w:p w:rsidR="00185E99" w:rsidRDefault="00185E99">
      <w:pPr>
        <w:tabs>
          <w:tab w:val="left" w:pos="765"/>
        </w:tabs>
        <w:spacing w:line="360" w:lineRule="auto"/>
        <w:jc w:val="center"/>
      </w:pPr>
    </w:p>
    <w:p w:rsidR="00185E99" w:rsidRDefault="00185E99">
      <w:pPr>
        <w:tabs>
          <w:tab w:val="left" w:pos="765"/>
        </w:tabs>
        <w:spacing w:line="360" w:lineRule="auto"/>
        <w:jc w:val="center"/>
      </w:pPr>
      <w:r>
        <w:rPr>
          <w:b/>
          <w:sz w:val="28"/>
          <w:szCs w:val="28"/>
          <w:u w:val="single"/>
        </w:rPr>
        <w:t>Dos Cronogramas Apresentados e Pagamentos a serem Efetuados:</w:t>
      </w:r>
    </w:p>
    <w:p w:rsidR="00185E99" w:rsidRDefault="00185E99">
      <w:pPr>
        <w:tabs>
          <w:tab w:val="left" w:pos="765"/>
        </w:tabs>
        <w:spacing w:line="360" w:lineRule="auto"/>
        <w:jc w:val="center"/>
      </w:pPr>
    </w:p>
    <w:p w:rsidR="00185E99" w:rsidRDefault="00185E99">
      <w:pPr>
        <w:spacing w:line="360" w:lineRule="auto"/>
        <w:jc w:val="both"/>
      </w:pPr>
      <w:r>
        <w:tab/>
        <w:t>A LICITANTE deverá apresentar o cronograma físico-financeiro adequado a sua proposta e em conformidade com o percentual previsto para desembolso elaborado pela administração.</w:t>
      </w:r>
    </w:p>
    <w:p w:rsidR="00185E99" w:rsidRDefault="00185E99">
      <w:pPr>
        <w:spacing w:line="360" w:lineRule="auto"/>
        <w:jc w:val="both"/>
      </w:pPr>
    </w:p>
    <w:p w:rsidR="00185E99" w:rsidRDefault="00185E99">
      <w:pPr>
        <w:spacing w:line="360" w:lineRule="auto"/>
        <w:jc w:val="both"/>
      </w:pPr>
      <w:r>
        <w:tab/>
        <w:t>Os pagamentos serão efetuados conforme decreto municipal 258/2018.</w:t>
      </w:r>
    </w:p>
    <w:p w:rsidR="00185E99" w:rsidRDefault="00185E99">
      <w:pPr>
        <w:spacing w:line="360" w:lineRule="auto"/>
        <w:jc w:val="both"/>
      </w:pPr>
    </w:p>
    <w:p w:rsidR="00185E99" w:rsidRDefault="00185E99">
      <w:pPr>
        <w:spacing w:line="360" w:lineRule="auto"/>
        <w:jc w:val="both"/>
      </w:pPr>
      <w:r>
        <w:tab/>
        <w:t>Quando da apresentação das medições, deverá ser observado o decreto municipal no. 238 – art. 12, bem como a manutenção da regularidade fiscal ao longo do contrato.</w:t>
      </w:r>
    </w:p>
    <w:p w:rsidR="00185E99" w:rsidRDefault="00185E99">
      <w:pPr>
        <w:spacing w:line="360" w:lineRule="auto"/>
        <w:jc w:val="both"/>
      </w:pPr>
    </w:p>
    <w:p w:rsidR="00185E99" w:rsidRDefault="00185E99">
      <w:pPr>
        <w:spacing w:line="360" w:lineRule="auto"/>
        <w:jc w:val="both"/>
      </w:pPr>
      <w:r>
        <w:tab/>
        <w:t>Na última parcela será retido o percentual de 10% do valor da fatura, até que se comprove toda regularidade fiscal e trabalhista.</w:t>
      </w:r>
    </w:p>
    <w:p w:rsidR="00185E99" w:rsidRDefault="00185E99">
      <w:pPr>
        <w:spacing w:line="360" w:lineRule="auto"/>
        <w:jc w:val="both"/>
      </w:pPr>
    </w:p>
    <w:p w:rsidR="00185E99" w:rsidRDefault="00185E99">
      <w:pPr>
        <w:spacing w:line="360" w:lineRule="auto"/>
        <w:jc w:val="both"/>
      </w:pPr>
      <w:r>
        <w:tab/>
        <w:t xml:space="preserve">O valor acima será liberado após comprovação da contratada do cumprimento de todas as obrigações </w:t>
      </w:r>
      <w:r>
        <w:rPr>
          <w:b/>
          <w:i/>
          <w:u w:val="single"/>
        </w:rPr>
        <w:t>trabalhistas e previdenciárias</w:t>
      </w:r>
      <w:r>
        <w:t>.</w:t>
      </w:r>
    </w:p>
    <w:p w:rsidR="00185E99" w:rsidRDefault="00185E99">
      <w:pPr>
        <w:spacing w:line="360" w:lineRule="auto"/>
        <w:jc w:val="both"/>
      </w:pPr>
    </w:p>
    <w:p w:rsidR="00185E99" w:rsidRDefault="00185E99">
      <w:pPr>
        <w:spacing w:line="360" w:lineRule="auto"/>
        <w:jc w:val="both"/>
      </w:pPr>
      <w:r>
        <w:tab/>
        <w:t>O valor retido será devolvido após confirmada a comprovação acima.</w:t>
      </w:r>
    </w:p>
    <w:p w:rsidR="00185E99" w:rsidRDefault="00185E99">
      <w:pPr>
        <w:spacing w:line="360" w:lineRule="auto"/>
        <w:jc w:val="both"/>
      </w:pPr>
    </w:p>
    <w:p w:rsidR="00185E99" w:rsidRDefault="00185E99">
      <w:pPr>
        <w:spacing w:line="360" w:lineRule="auto"/>
        <w:jc w:val="both"/>
        <w:rPr>
          <w:b/>
          <w:u w:val="single"/>
        </w:rPr>
      </w:pPr>
      <w:r>
        <w:tab/>
        <w:t>Caso seja necessário readequar o cronograma físico-financeiro o percentual de 10% deverá ser mantido na última medição.</w:t>
      </w:r>
    </w:p>
    <w:p w:rsidR="00185E99" w:rsidRDefault="00185E99">
      <w:pPr>
        <w:tabs>
          <w:tab w:val="left" w:pos="765"/>
        </w:tabs>
        <w:spacing w:line="360" w:lineRule="auto"/>
        <w:jc w:val="both"/>
      </w:pPr>
      <w:r>
        <w:rPr>
          <w:b/>
          <w:u w:val="single"/>
        </w:rPr>
        <w:t>Não serão concedidos reajustes contratuais, quando não houver o cumprimento do cronograma proposto pela contratada, não justificado pela fiscalização.</w:t>
      </w:r>
    </w:p>
    <w:p w:rsidR="00185E99" w:rsidRDefault="00185E99">
      <w:pPr>
        <w:tabs>
          <w:tab w:val="left" w:pos="765"/>
        </w:tabs>
        <w:spacing w:line="360" w:lineRule="auto"/>
        <w:jc w:val="both"/>
      </w:pPr>
    </w:p>
    <w:p w:rsidR="00185E99" w:rsidRDefault="00185E99">
      <w:pPr>
        <w:tabs>
          <w:tab w:val="left" w:pos="765"/>
        </w:tabs>
        <w:spacing w:line="360" w:lineRule="auto"/>
        <w:jc w:val="both"/>
      </w:pPr>
      <w:r>
        <w:t>Atenciosamente,</w:t>
      </w:r>
    </w:p>
    <w:p w:rsidR="00185E99" w:rsidRDefault="00185E99">
      <w:pPr>
        <w:tabs>
          <w:tab w:val="left" w:pos="765"/>
        </w:tabs>
        <w:spacing w:line="360" w:lineRule="auto"/>
        <w:jc w:val="both"/>
      </w:pPr>
    </w:p>
    <w:p w:rsidR="00185E99" w:rsidRDefault="00185E99">
      <w:pPr>
        <w:tabs>
          <w:tab w:val="left" w:pos="765"/>
        </w:tabs>
        <w:spacing w:line="360" w:lineRule="auto"/>
        <w:jc w:val="both"/>
      </w:pPr>
      <w:r>
        <w:t xml:space="preserve">Secretário da Casa Civil </w:t>
      </w:r>
    </w:p>
    <w:p w:rsidR="00185E99" w:rsidRDefault="00185E99">
      <w:pPr>
        <w:tabs>
          <w:tab w:val="left" w:pos="765"/>
        </w:tabs>
        <w:spacing w:line="360" w:lineRule="auto"/>
        <w:jc w:val="both"/>
      </w:pPr>
      <w:r>
        <w:t>Walter Luiz Thuller</w:t>
      </w:r>
    </w:p>
    <w:p w:rsidR="00185E99" w:rsidRDefault="00185E99">
      <w:pPr>
        <w:tabs>
          <w:tab w:val="left" w:pos="765"/>
        </w:tabs>
        <w:spacing w:line="360" w:lineRule="auto"/>
        <w:jc w:val="both"/>
      </w:pPr>
    </w:p>
    <w:p w:rsidR="00185E99" w:rsidRDefault="00185E99" w:rsidP="00357C45">
      <w:pPr>
        <w:tabs>
          <w:tab w:val="left" w:pos="765"/>
        </w:tabs>
        <w:spacing w:line="360" w:lineRule="auto"/>
        <w:jc w:val="both"/>
      </w:pPr>
    </w:p>
    <w:sectPr w:rsidR="00185E99" w:rsidSect="006E593A">
      <w:headerReference w:type="default" r:id="rId7"/>
      <w:pgSz w:w="11906" w:h="16838"/>
      <w:pgMar w:top="1020" w:right="850" w:bottom="851" w:left="1701" w:header="96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3D5" w:rsidRDefault="00D723D5">
      <w:r>
        <w:separator/>
      </w:r>
    </w:p>
  </w:endnote>
  <w:endnote w:type="continuationSeparator" w:id="1">
    <w:p w:rsidR="00D723D5" w:rsidRDefault="00D72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ouvenir Lt BT">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3D5" w:rsidRDefault="00D723D5">
      <w:r>
        <w:separator/>
      </w:r>
    </w:p>
  </w:footnote>
  <w:footnote w:type="continuationSeparator" w:id="1">
    <w:p w:rsidR="00D723D5" w:rsidRDefault="00D72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14956"/>
    </w:tblGrid>
    <w:tr w:rsidR="00185E99" w:rsidTr="39983D20">
      <w:trPr>
        <w:trHeight w:val="285"/>
      </w:trPr>
      <w:tc>
        <w:tcPr>
          <w:tcW w:w="14956" w:type="dxa"/>
          <w:shd w:val="clear" w:color="auto" w:fill="auto"/>
          <w:vAlign w:val="bottom"/>
        </w:tcPr>
        <w:p w:rsidR="00185E99" w:rsidRDefault="00185E99">
          <w:pPr>
            <w:snapToGrid w:val="0"/>
            <w:rPr>
              <w:rFonts w:ascii="Arial" w:hAnsi="Arial" w:cs="Arial"/>
            </w:rPr>
          </w:pPr>
        </w:p>
        <w:tbl>
          <w:tblPr>
            <w:tblW w:w="0" w:type="auto"/>
            <w:tblLayout w:type="fixed"/>
            <w:tblCellMar>
              <w:left w:w="0" w:type="dxa"/>
              <w:right w:w="0" w:type="dxa"/>
            </w:tblCellMar>
            <w:tblLook w:val="0000"/>
          </w:tblPr>
          <w:tblGrid>
            <w:gridCol w:w="14816"/>
          </w:tblGrid>
          <w:tr w:rsidR="00185E99" w:rsidTr="39983D20">
            <w:trPr>
              <w:trHeight w:val="285"/>
            </w:trPr>
            <w:tc>
              <w:tcPr>
                <w:tcW w:w="14816" w:type="dxa"/>
                <w:shd w:val="clear" w:color="auto" w:fill="auto"/>
                <w:vAlign w:val="center"/>
              </w:tcPr>
              <w:p w:rsidR="00185E99" w:rsidRDefault="00640ECE">
                <w:pPr>
                  <w:snapToGrid w:val="0"/>
                  <w:jc w:val="center"/>
                  <w:rPr>
                    <w:rFonts w:ascii="Arial" w:hAnsi="Arial" w:cs="Arial"/>
                    <w:sz w:val="16"/>
                    <w:szCs w:val="16"/>
                    <w:lang w:eastAsia="ja-JP"/>
                  </w:rPr>
                </w:pPr>
                <w:r>
                  <w:rPr>
                    <w:noProof/>
                    <w:lang w:eastAsia="pt-BR"/>
                  </w:rPr>
                  <w:drawing>
                    <wp:anchor distT="0" distB="0" distL="114935" distR="114935" simplePos="0" relativeHeight="251657728" behindDoc="0" locked="0" layoutInCell="1" allowOverlap="1">
                      <wp:simplePos x="0" y="0"/>
                      <wp:positionH relativeFrom="margin">
                        <wp:posOffset>139700</wp:posOffset>
                      </wp:positionH>
                      <wp:positionV relativeFrom="paragraph">
                        <wp:posOffset>50165</wp:posOffset>
                      </wp:positionV>
                      <wp:extent cx="586105" cy="6750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6105" cy="675005"/>
                              </a:xfrm>
                              <a:prstGeom prst="rect">
                                <a:avLst/>
                              </a:prstGeom>
                              <a:solidFill>
                                <a:srgbClr val="FFFFFF">
                                  <a:alpha val="0"/>
                                </a:srgbClr>
                              </a:solidFill>
                              <a:ln>
                                <a:noFill/>
                              </a:ln>
                            </pic:spPr>
                          </pic:pic>
                        </a:graphicData>
                      </a:graphic>
                    </wp:anchor>
                  </w:drawing>
                </w:r>
              </w:p>
            </w:tc>
          </w:tr>
        </w:tbl>
        <w:p w:rsidR="00185E99" w:rsidRDefault="00185E99">
          <w:pPr>
            <w:rPr>
              <w:rFonts w:ascii="Arial" w:hAnsi="Arial" w:cs="Arial"/>
            </w:rPr>
          </w:pPr>
        </w:p>
      </w:tc>
    </w:tr>
    <w:tr w:rsidR="00185E99" w:rsidTr="39983D20">
      <w:trPr>
        <w:trHeight w:val="270"/>
      </w:trPr>
      <w:tc>
        <w:tcPr>
          <w:tcW w:w="14956" w:type="dxa"/>
          <w:shd w:val="clear" w:color="auto" w:fill="auto"/>
          <w:vAlign w:val="center"/>
        </w:tcPr>
        <w:p w:rsidR="00185E99" w:rsidRDefault="00185E99">
          <w:r>
            <w:rPr>
              <w:rFonts w:ascii="Arial" w:hAnsi="Arial" w:cs="Arial"/>
              <w:i/>
              <w:iCs/>
            </w:rPr>
            <w:t>Estado do Rio de Janeiro</w:t>
          </w:r>
        </w:p>
      </w:tc>
    </w:tr>
    <w:tr w:rsidR="00185E99" w:rsidTr="39983D20">
      <w:trPr>
        <w:trHeight w:val="300"/>
      </w:trPr>
      <w:tc>
        <w:tcPr>
          <w:tcW w:w="14956" w:type="dxa"/>
          <w:shd w:val="clear" w:color="auto" w:fill="auto"/>
          <w:vAlign w:val="center"/>
        </w:tcPr>
        <w:p w:rsidR="00185E99" w:rsidRDefault="00185E99">
          <w:pPr>
            <w:ind w:firstLine="1546"/>
          </w:pPr>
          <w:r>
            <w:rPr>
              <w:rFonts w:ascii="Arial" w:hAnsi="Arial" w:cs="Arial"/>
              <w:b/>
              <w:bCs/>
              <w:sz w:val="22"/>
              <w:szCs w:val="22"/>
            </w:rPr>
            <w:t>PREFEITURA MUNICIPAL DE NOVA FRIBURGO</w:t>
          </w:r>
        </w:p>
      </w:tc>
    </w:tr>
    <w:tr w:rsidR="00185E99" w:rsidTr="39983D20">
      <w:trPr>
        <w:trHeight w:val="270"/>
      </w:trPr>
      <w:tc>
        <w:tcPr>
          <w:tcW w:w="14956" w:type="dxa"/>
          <w:shd w:val="clear" w:color="auto" w:fill="auto"/>
          <w:vAlign w:val="center"/>
        </w:tcPr>
        <w:p w:rsidR="00185E99" w:rsidRDefault="00185E99">
          <w:pPr>
            <w:ind w:firstLine="1260"/>
          </w:pPr>
          <w:r>
            <w:rPr>
              <w:rFonts w:ascii="Arial" w:hAnsi="Arial" w:cs="Arial"/>
              <w:sz w:val="18"/>
              <w:szCs w:val="18"/>
            </w:rPr>
            <w:t>CASA CIVIL - EGCP</w:t>
          </w:r>
        </w:p>
      </w:tc>
    </w:tr>
  </w:tbl>
  <w:p w:rsidR="00185E99" w:rsidRDefault="00185E99">
    <w:pPr>
      <w:ind w:left="851"/>
      <w:rPr>
        <w:rFonts w:ascii="Souvenir Lt BT" w:hAnsi="Souvenir Lt BT" w:cs="Souvenir Lt BT"/>
        <w:b/>
        <w:bCs/>
      </w:rPr>
    </w:pPr>
  </w:p>
  <w:p w:rsidR="00185E99" w:rsidRDefault="00185E99">
    <w:pPr>
      <w:pStyle w:val="Cabealho"/>
      <w:rPr>
        <w:rFonts w:ascii="Souvenir Lt BT" w:hAnsi="Souvenir Lt BT" w:cs="Souvenir Lt BT"/>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00000003"/>
    <w:name w:val="WW8Num3"/>
    <w:lvl w:ilvl="0">
      <w:start w:val="1"/>
      <w:numFmt w:val="decimal"/>
      <w:lvlText w:val="%1-"/>
      <w:lvlJc w:val="left"/>
      <w:pPr>
        <w:tabs>
          <w:tab w:val="num" w:pos="0"/>
        </w:tabs>
        <w:ind w:left="720"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00000004"/>
    <w:name w:val="WW8Num4"/>
    <w:lvl w:ilvl="0">
      <w:start w:val="1"/>
      <w:numFmt w:val="upperRoman"/>
      <w:lvlText w:val="%1)"/>
      <w:lvlJc w:val="left"/>
      <w:pPr>
        <w:tabs>
          <w:tab w:val="num" w:pos="0"/>
        </w:tabs>
        <w:ind w:left="108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00000005"/>
    <w:name w:val="WW8Num5"/>
    <w:lvl w:ilvl="0">
      <w:start w:val="3"/>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doNotUseHTMLParagraphAutoSpacing/>
  </w:compat>
  <w:rsids>
    <w:rsidRoot w:val="00357C45"/>
    <w:rsid w:val="00003191"/>
    <w:rsid w:val="000D50DB"/>
    <w:rsid w:val="000E7D6F"/>
    <w:rsid w:val="00153DCC"/>
    <w:rsid w:val="00171F72"/>
    <w:rsid w:val="0017434C"/>
    <w:rsid w:val="00185E99"/>
    <w:rsid w:val="00191C06"/>
    <w:rsid w:val="001B1904"/>
    <w:rsid w:val="00213F1D"/>
    <w:rsid w:val="002A14FA"/>
    <w:rsid w:val="00305A29"/>
    <w:rsid w:val="0034711E"/>
    <w:rsid w:val="00357C45"/>
    <w:rsid w:val="003629CF"/>
    <w:rsid w:val="00382B07"/>
    <w:rsid w:val="00440E08"/>
    <w:rsid w:val="004D4DED"/>
    <w:rsid w:val="00556822"/>
    <w:rsid w:val="005A553B"/>
    <w:rsid w:val="006012A1"/>
    <w:rsid w:val="00640ECE"/>
    <w:rsid w:val="006448B2"/>
    <w:rsid w:val="006A759D"/>
    <w:rsid w:val="006E593A"/>
    <w:rsid w:val="00713C0B"/>
    <w:rsid w:val="00773BA4"/>
    <w:rsid w:val="0078612A"/>
    <w:rsid w:val="00792C0A"/>
    <w:rsid w:val="007A71F8"/>
    <w:rsid w:val="007D4998"/>
    <w:rsid w:val="00860132"/>
    <w:rsid w:val="008A17EF"/>
    <w:rsid w:val="00962CF1"/>
    <w:rsid w:val="009950D3"/>
    <w:rsid w:val="00A80E6A"/>
    <w:rsid w:val="00AF56EB"/>
    <w:rsid w:val="00B0150E"/>
    <w:rsid w:val="00B17A30"/>
    <w:rsid w:val="00B845FB"/>
    <w:rsid w:val="00B84660"/>
    <w:rsid w:val="00BE1592"/>
    <w:rsid w:val="00C82CE7"/>
    <w:rsid w:val="00D02B4A"/>
    <w:rsid w:val="00D723D5"/>
    <w:rsid w:val="00DE4E03"/>
    <w:rsid w:val="00DE5726"/>
    <w:rsid w:val="00E47932"/>
    <w:rsid w:val="00E838D9"/>
    <w:rsid w:val="00E84950"/>
    <w:rsid w:val="00ED0739"/>
    <w:rsid w:val="00EF2CD2"/>
    <w:rsid w:val="00F26491"/>
    <w:rsid w:val="00FB7FDF"/>
    <w:rsid w:val="2BBEE13A"/>
    <w:rsid w:val="39983D20"/>
    <w:rsid w:val="4002667C"/>
    <w:rsid w:val="41C2373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3A"/>
    <w:pPr>
      <w:suppressAutoHyphens/>
    </w:pPr>
    <w:rPr>
      <w:sz w:val="24"/>
      <w:lang w:eastAsia="zh-CN"/>
    </w:rPr>
  </w:style>
  <w:style w:type="paragraph" w:styleId="Ttulo1">
    <w:name w:val="heading 1"/>
    <w:basedOn w:val="Normal"/>
    <w:next w:val="Normal"/>
    <w:qFormat/>
    <w:rsid w:val="006E593A"/>
    <w:pPr>
      <w:keepNext/>
      <w:numPr>
        <w:numId w:val="1"/>
      </w:numPr>
      <w:ind w:left="851" w:firstLine="0"/>
      <w:outlineLvl w:val="0"/>
    </w:pPr>
    <w:rPr>
      <w:rFonts w:ascii="Souvenir Lt BT" w:hAnsi="Souvenir Lt BT" w:cs="Souvenir Lt BT"/>
      <w:b/>
      <w:bCs/>
    </w:rPr>
  </w:style>
  <w:style w:type="paragraph" w:styleId="Ttulo2">
    <w:name w:val="heading 2"/>
    <w:basedOn w:val="Normal"/>
    <w:next w:val="Normal"/>
    <w:qFormat/>
    <w:rsid w:val="006E593A"/>
    <w:pPr>
      <w:keepNext/>
      <w:numPr>
        <w:ilvl w:val="1"/>
        <w:numId w:val="1"/>
      </w:numPr>
      <w:ind w:left="851" w:firstLine="0"/>
      <w:outlineLvl w:val="1"/>
    </w:pPr>
    <w:rPr>
      <w:rFonts w:ascii="Souvenir Lt BT" w:hAnsi="Souvenir Lt BT" w:cs="Souvenir Lt BT"/>
      <w:u w:val="single"/>
    </w:rPr>
  </w:style>
  <w:style w:type="paragraph" w:styleId="Ttulo3">
    <w:name w:val="heading 3"/>
    <w:basedOn w:val="Normal"/>
    <w:next w:val="Normal"/>
    <w:qFormat/>
    <w:rsid w:val="006E593A"/>
    <w:pPr>
      <w:keepNext/>
      <w:numPr>
        <w:ilvl w:val="2"/>
        <w:numId w:val="1"/>
      </w:numPr>
      <w:outlineLvl w:val="2"/>
    </w:pPr>
    <w:rPr>
      <w:b/>
      <w:bCs/>
    </w:rPr>
  </w:style>
  <w:style w:type="paragraph" w:styleId="Ttulo4">
    <w:name w:val="heading 4"/>
    <w:basedOn w:val="Normal"/>
    <w:next w:val="Normal"/>
    <w:qFormat/>
    <w:rsid w:val="006E593A"/>
    <w:pPr>
      <w:keepNext/>
      <w:numPr>
        <w:ilvl w:val="3"/>
        <w:numId w:val="1"/>
      </w:numPr>
      <w:jc w:val="center"/>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6E593A"/>
  </w:style>
  <w:style w:type="character" w:customStyle="1" w:styleId="WW8Num1z1">
    <w:name w:val="WW8Num1z1"/>
    <w:rsid w:val="006E593A"/>
  </w:style>
  <w:style w:type="character" w:customStyle="1" w:styleId="WW8Num1z2">
    <w:name w:val="WW8Num1z2"/>
    <w:rsid w:val="006E593A"/>
  </w:style>
  <w:style w:type="character" w:customStyle="1" w:styleId="WW8Num1z3">
    <w:name w:val="WW8Num1z3"/>
    <w:rsid w:val="006E593A"/>
  </w:style>
  <w:style w:type="character" w:customStyle="1" w:styleId="WW8Num1z4">
    <w:name w:val="WW8Num1z4"/>
    <w:rsid w:val="006E593A"/>
  </w:style>
  <w:style w:type="character" w:customStyle="1" w:styleId="WW8Num1z5">
    <w:name w:val="WW8Num1z5"/>
    <w:rsid w:val="006E593A"/>
  </w:style>
  <w:style w:type="character" w:customStyle="1" w:styleId="WW8Num1z6">
    <w:name w:val="WW8Num1z6"/>
    <w:rsid w:val="006E593A"/>
  </w:style>
  <w:style w:type="character" w:customStyle="1" w:styleId="WW8Num1z7">
    <w:name w:val="WW8Num1z7"/>
    <w:rsid w:val="006E593A"/>
  </w:style>
  <w:style w:type="character" w:customStyle="1" w:styleId="WW8Num1z8">
    <w:name w:val="WW8Num1z8"/>
    <w:rsid w:val="006E593A"/>
  </w:style>
  <w:style w:type="character" w:customStyle="1" w:styleId="WW8Num2z0">
    <w:name w:val="WW8Num2z0"/>
    <w:rsid w:val="006E593A"/>
    <w:rPr>
      <w:rFonts w:hint="default"/>
    </w:rPr>
  </w:style>
  <w:style w:type="character" w:customStyle="1" w:styleId="WW8Num3z0">
    <w:name w:val="WW8Num3z0"/>
    <w:rsid w:val="006E593A"/>
    <w:rPr>
      <w:rFonts w:hint="default"/>
      <w:b/>
    </w:rPr>
  </w:style>
  <w:style w:type="character" w:customStyle="1" w:styleId="WW8Num4z0">
    <w:name w:val="WW8Num4z0"/>
    <w:rsid w:val="006E593A"/>
    <w:rPr>
      <w:rFonts w:hint="default"/>
    </w:rPr>
  </w:style>
  <w:style w:type="character" w:customStyle="1" w:styleId="WW8Num5z0">
    <w:name w:val="WW8Num5z0"/>
    <w:rsid w:val="006E593A"/>
    <w:rPr>
      <w:rFonts w:hint="default"/>
    </w:rPr>
  </w:style>
  <w:style w:type="character" w:customStyle="1" w:styleId="WW8Num5z1">
    <w:name w:val="WW8Num5z1"/>
    <w:rsid w:val="006E593A"/>
  </w:style>
  <w:style w:type="character" w:customStyle="1" w:styleId="WW8Num5z2">
    <w:name w:val="WW8Num5z2"/>
    <w:rsid w:val="006E593A"/>
  </w:style>
  <w:style w:type="character" w:customStyle="1" w:styleId="WW8Num5z3">
    <w:name w:val="WW8Num5z3"/>
    <w:rsid w:val="006E593A"/>
  </w:style>
  <w:style w:type="character" w:customStyle="1" w:styleId="WW8Num5z4">
    <w:name w:val="WW8Num5z4"/>
    <w:rsid w:val="006E593A"/>
  </w:style>
  <w:style w:type="character" w:customStyle="1" w:styleId="WW8Num5z5">
    <w:name w:val="WW8Num5z5"/>
    <w:rsid w:val="006E593A"/>
  </w:style>
  <w:style w:type="character" w:customStyle="1" w:styleId="WW8Num5z6">
    <w:name w:val="WW8Num5z6"/>
    <w:rsid w:val="006E593A"/>
  </w:style>
  <w:style w:type="character" w:customStyle="1" w:styleId="WW8Num5z7">
    <w:name w:val="WW8Num5z7"/>
    <w:rsid w:val="006E593A"/>
  </w:style>
  <w:style w:type="character" w:customStyle="1" w:styleId="WW8Num5z8">
    <w:name w:val="WW8Num5z8"/>
    <w:rsid w:val="006E593A"/>
  </w:style>
  <w:style w:type="character" w:customStyle="1" w:styleId="WW8Num6z0">
    <w:name w:val="WW8Num6z0"/>
    <w:rsid w:val="006E593A"/>
    <w:rPr>
      <w:rFonts w:hint="default"/>
    </w:rPr>
  </w:style>
  <w:style w:type="character" w:customStyle="1" w:styleId="WW8Num6z1">
    <w:name w:val="WW8Num6z1"/>
    <w:rsid w:val="006E593A"/>
  </w:style>
  <w:style w:type="character" w:customStyle="1" w:styleId="WW8Num6z2">
    <w:name w:val="WW8Num6z2"/>
    <w:rsid w:val="006E593A"/>
  </w:style>
  <w:style w:type="character" w:customStyle="1" w:styleId="WW8Num6z3">
    <w:name w:val="WW8Num6z3"/>
    <w:rsid w:val="006E593A"/>
  </w:style>
  <w:style w:type="character" w:customStyle="1" w:styleId="WW8Num6z4">
    <w:name w:val="WW8Num6z4"/>
    <w:rsid w:val="006E593A"/>
  </w:style>
  <w:style w:type="character" w:customStyle="1" w:styleId="WW8Num6z5">
    <w:name w:val="WW8Num6z5"/>
    <w:rsid w:val="006E593A"/>
  </w:style>
  <w:style w:type="character" w:customStyle="1" w:styleId="WW8Num6z6">
    <w:name w:val="WW8Num6z6"/>
    <w:rsid w:val="006E593A"/>
  </w:style>
  <w:style w:type="character" w:customStyle="1" w:styleId="WW8Num6z7">
    <w:name w:val="WW8Num6z7"/>
    <w:rsid w:val="006E593A"/>
  </w:style>
  <w:style w:type="character" w:customStyle="1" w:styleId="WW8Num6z8">
    <w:name w:val="WW8Num6z8"/>
    <w:rsid w:val="006E593A"/>
  </w:style>
  <w:style w:type="character" w:customStyle="1" w:styleId="WW8Num7z0">
    <w:name w:val="WW8Num7z0"/>
    <w:rsid w:val="006E593A"/>
    <w:rPr>
      <w:rFonts w:hint="default"/>
    </w:rPr>
  </w:style>
  <w:style w:type="character" w:customStyle="1" w:styleId="WW8Num8z0">
    <w:name w:val="WW8Num8z0"/>
    <w:rsid w:val="006E593A"/>
    <w:rPr>
      <w:rFonts w:hint="default"/>
    </w:rPr>
  </w:style>
  <w:style w:type="character" w:customStyle="1" w:styleId="WW8Num8z1">
    <w:name w:val="WW8Num8z1"/>
    <w:rsid w:val="006E593A"/>
  </w:style>
  <w:style w:type="character" w:customStyle="1" w:styleId="WW8Num8z2">
    <w:name w:val="WW8Num8z2"/>
    <w:rsid w:val="006E593A"/>
  </w:style>
  <w:style w:type="character" w:customStyle="1" w:styleId="WW8Num8z3">
    <w:name w:val="WW8Num8z3"/>
    <w:rsid w:val="006E593A"/>
  </w:style>
  <w:style w:type="character" w:customStyle="1" w:styleId="WW8Num8z4">
    <w:name w:val="WW8Num8z4"/>
    <w:rsid w:val="006E593A"/>
  </w:style>
  <w:style w:type="character" w:customStyle="1" w:styleId="WW8Num8z5">
    <w:name w:val="WW8Num8z5"/>
    <w:rsid w:val="006E593A"/>
  </w:style>
  <w:style w:type="character" w:customStyle="1" w:styleId="WW8Num8z6">
    <w:name w:val="WW8Num8z6"/>
    <w:rsid w:val="006E593A"/>
  </w:style>
  <w:style w:type="character" w:customStyle="1" w:styleId="WW8Num8z7">
    <w:name w:val="WW8Num8z7"/>
    <w:rsid w:val="006E593A"/>
  </w:style>
  <w:style w:type="character" w:customStyle="1" w:styleId="WW8Num8z8">
    <w:name w:val="WW8Num8z8"/>
    <w:rsid w:val="006E593A"/>
  </w:style>
  <w:style w:type="character" w:customStyle="1" w:styleId="WW8Num9z0">
    <w:name w:val="WW8Num9z0"/>
    <w:rsid w:val="006E593A"/>
    <w:rPr>
      <w:rFonts w:hint="default"/>
    </w:rPr>
  </w:style>
  <w:style w:type="character" w:customStyle="1" w:styleId="Fontepargpadro2">
    <w:name w:val="Fonte parág. padrão2"/>
    <w:rsid w:val="006E593A"/>
  </w:style>
  <w:style w:type="character" w:customStyle="1" w:styleId="WW8Num2z1">
    <w:name w:val="WW8Num2z1"/>
    <w:rsid w:val="006E593A"/>
  </w:style>
  <w:style w:type="character" w:customStyle="1" w:styleId="WW8Num2z2">
    <w:name w:val="WW8Num2z2"/>
    <w:rsid w:val="006E593A"/>
  </w:style>
  <w:style w:type="character" w:customStyle="1" w:styleId="WW8Num2z3">
    <w:name w:val="WW8Num2z3"/>
    <w:rsid w:val="006E593A"/>
  </w:style>
  <w:style w:type="character" w:customStyle="1" w:styleId="WW8Num2z4">
    <w:name w:val="WW8Num2z4"/>
    <w:rsid w:val="006E593A"/>
  </w:style>
  <w:style w:type="character" w:customStyle="1" w:styleId="WW8Num2z5">
    <w:name w:val="WW8Num2z5"/>
    <w:rsid w:val="006E593A"/>
  </w:style>
  <w:style w:type="character" w:customStyle="1" w:styleId="WW8Num2z6">
    <w:name w:val="WW8Num2z6"/>
    <w:rsid w:val="006E593A"/>
  </w:style>
  <w:style w:type="character" w:customStyle="1" w:styleId="WW8Num2z7">
    <w:name w:val="WW8Num2z7"/>
    <w:rsid w:val="006E593A"/>
  </w:style>
  <w:style w:type="character" w:customStyle="1" w:styleId="WW8Num2z8">
    <w:name w:val="WW8Num2z8"/>
    <w:rsid w:val="006E593A"/>
  </w:style>
  <w:style w:type="character" w:customStyle="1" w:styleId="WW8Num3z1">
    <w:name w:val="WW8Num3z1"/>
    <w:rsid w:val="006E593A"/>
  </w:style>
  <w:style w:type="character" w:customStyle="1" w:styleId="WW8Num3z2">
    <w:name w:val="WW8Num3z2"/>
    <w:rsid w:val="006E593A"/>
  </w:style>
  <w:style w:type="character" w:customStyle="1" w:styleId="WW8Num3z3">
    <w:name w:val="WW8Num3z3"/>
    <w:rsid w:val="006E593A"/>
  </w:style>
  <w:style w:type="character" w:customStyle="1" w:styleId="WW8Num3z4">
    <w:name w:val="WW8Num3z4"/>
    <w:rsid w:val="006E593A"/>
  </w:style>
  <w:style w:type="character" w:customStyle="1" w:styleId="WW8Num3z5">
    <w:name w:val="WW8Num3z5"/>
    <w:rsid w:val="006E593A"/>
  </w:style>
  <w:style w:type="character" w:customStyle="1" w:styleId="WW8Num3z6">
    <w:name w:val="WW8Num3z6"/>
    <w:rsid w:val="006E593A"/>
  </w:style>
  <w:style w:type="character" w:customStyle="1" w:styleId="WW8Num3z7">
    <w:name w:val="WW8Num3z7"/>
    <w:rsid w:val="006E593A"/>
  </w:style>
  <w:style w:type="character" w:customStyle="1" w:styleId="WW8Num3z8">
    <w:name w:val="WW8Num3z8"/>
    <w:rsid w:val="006E593A"/>
  </w:style>
  <w:style w:type="character" w:customStyle="1" w:styleId="WW8Num4z1">
    <w:name w:val="WW8Num4z1"/>
    <w:rsid w:val="006E593A"/>
  </w:style>
  <w:style w:type="character" w:customStyle="1" w:styleId="WW8Num4z2">
    <w:name w:val="WW8Num4z2"/>
    <w:rsid w:val="006E593A"/>
  </w:style>
  <w:style w:type="character" w:customStyle="1" w:styleId="WW8Num4z3">
    <w:name w:val="WW8Num4z3"/>
    <w:rsid w:val="006E593A"/>
  </w:style>
  <w:style w:type="character" w:customStyle="1" w:styleId="WW8Num4z4">
    <w:name w:val="WW8Num4z4"/>
    <w:rsid w:val="006E593A"/>
  </w:style>
  <w:style w:type="character" w:customStyle="1" w:styleId="WW8Num4z5">
    <w:name w:val="WW8Num4z5"/>
    <w:rsid w:val="006E593A"/>
  </w:style>
  <w:style w:type="character" w:customStyle="1" w:styleId="WW8Num4z6">
    <w:name w:val="WW8Num4z6"/>
    <w:rsid w:val="006E593A"/>
  </w:style>
  <w:style w:type="character" w:customStyle="1" w:styleId="WW8Num4z7">
    <w:name w:val="WW8Num4z7"/>
    <w:rsid w:val="006E593A"/>
  </w:style>
  <w:style w:type="character" w:customStyle="1" w:styleId="WW8Num4z8">
    <w:name w:val="WW8Num4z8"/>
    <w:rsid w:val="006E593A"/>
  </w:style>
  <w:style w:type="character" w:customStyle="1" w:styleId="WW8Num7z1">
    <w:name w:val="WW8Num7z1"/>
    <w:rsid w:val="006E593A"/>
  </w:style>
  <w:style w:type="character" w:customStyle="1" w:styleId="WW8Num7z2">
    <w:name w:val="WW8Num7z2"/>
    <w:rsid w:val="006E593A"/>
  </w:style>
  <w:style w:type="character" w:customStyle="1" w:styleId="WW8Num7z3">
    <w:name w:val="WW8Num7z3"/>
    <w:rsid w:val="006E593A"/>
  </w:style>
  <w:style w:type="character" w:customStyle="1" w:styleId="WW8Num7z4">
    <w:name w:val="WW8Num7z4"/>
    <w:rsid w:val="006E593A"/>
  </w:style>
  <w:style w:type="character" w:customStyle="1" w:styleId="WW8Num7z5">
    <w:name w:val="WW8Num7z5"/>
    <w:rsid w:val="006E593A"/>
  </w:style>
  <w:style w:type="character" w:customStyle="1" w:styleId="WW8Num7z6">
    <w:name w:val="WW8Num7z6"/>
    <w:rsid w:val="006E593A"/>
  </w:style>
  <w:style w:type="character" w:customStyle="1" w:styleId="WW8Num7z7">
    <w:name w:val="WW8Num7z7"/>
    <w:rsid w:val="006E593A"/>
  </w:style>
  <w:style w:type="character" w:customStyle="1" w:styleId="WW8Num7z8">
    <w:name w:val="WW8Num7z8"/>
    <w:rsid w:val="006E593A"/>
  </w:style>
  <w:style w:type="character" w:customStyle="1" w:styleId="Fontepargpadro1">
    <w:name w:val="Fonte parág. padrão1"/>
    <w:rsid w:val="006E593A"/>
  </w:style>
  <w:style w:type="character" w:customStyle="1" w:styleId="TextodebaloChar">
    <w:name w:val="Texto de balão Char"/>
    <w:rsid w:val="006E593A"/>
    <w:rPr>
      <w:rFonts w:ascii="Tahoma" w:hAnsi="Tahoma" w:cs="Tahoma"/>
      <w:sz w:val="16"/>
      <w:szCs w:val="16"/>
    </w:rPr>
  </w:style>
  <w:style w:type="paragraph" w:customStyle="1" w:styleId="Ttulo20">
    <w:name w:val="Título2"/>
    <w:basedOn w:val="Normal"/>
    <w:next w:val="Corpodetexto"/>
    <w:rsid w:val="006E593A"/>
    <w:pPr>
      <w:keepNext/>
      <w:spacing w:before="240" w:after="120"/>
    </w:pPr>
    <w:rPr>
      <w:rFonts w:ascii="Liberation Sans" w:eastAsia="Microsoft YaHei" w:hAnsi="Liberation Sans" w:cs="Mangal"/>
      <w:sz w:val="28"/>
      <w:szCs w:val="28"/>
    </w:rPr>
  </w:style>
  <w:style w:type="paragraph" w:styleId="Corpodetexto">
    <w:name w:val="Body Text"/>
    <w:basedOn w:val="Normal"/>
    <w:rsid w:val="006E593A"/>
    <w:pPr>
      <w:jc w:val="both"/>
    </w:pPr>
  </w:style>
  <w:style w:type="paragraph" w:styleId="Lista">
    <w:name w:val="List"/>
    <w:basedOn w:val="Corpodetexto"/>
    <w:rsid w:val="006E593A"/>
    <w:rPr>
      <w:rFonts w:cs="Mangal"/>
    </w:rPr>
  </w:style>
  <w:style w:type="paragraph" w:styleId="Legenda">
    <w:name w:val="caption"/>
    <w:basedOn w:val="Normal"/>
    <w:qFormat/>
    <w:rsid w:val="006E593A"/>
    <w:pPr>
      <w:suppressLineNumbers/>
      <w:spacing w:before="120" w:after="120"/>
    </w:pPr>
    <w:rPr>
      <w:rFonts w:cs="Mangal"/>
      <w:i/>
      <w:iCs/>
      <w:szCs w:val="24"/>
    </w:rPr>
  </w:style>
  <w:style w:type="paragraph" w:customStyle="1" w:styleId="ndice">
    <w:name w:val="Índice"/>
    <w:basedOn w:val="Normal"/>
    <w:rsid w:val="006E593A"/>
    <w:pPr>
      <w:suppressLineNumbers/>
    </w:pPr>
    <w:rPr>
      <w:rFonts w:cs="Mangal"/>
    </w:rPr>
  </w:style>
  <w:style w:type="paragraph" w:customStyle="1" w:styleId="Ttulo10">
    <w:name w:val="Título1"/>
    <w:basedOn w:val="Normal"/>
    <w:next w:val="Corpodetexto"/>
    <w:rsid w:val="006E593A"/>
    <w:pPr>
      <w:keepNext/>
      <w:spacing w:before="240" w:after="120"/>
    </w:pPr>
    <w:rPr>
      <w:rFonts w:ascii="Liberation Sans" w:eastAsia="Microsoft YaHei" w:hAnsi="Liberation Sans" w:cs="Mangal"/>
      <w:sz w:val="28"/>
      <w:szCs w:val="28"/>
    </w:rPr>
  </w:style>
  <w:style w:type="paragraph" w:styleId="Cabealho">
    <w:name w:val="header"/>
    <w:basedOn w:val="Normal"/>
    <w:rsid w:val="006E593A"/>
    <w:pPr>
      <w:tabs>
        <w:tab w:val="center" w:pos="4419"/>
        <w:tab w:val="right" w:pos="8838"/>
      </w:tabs>
    </w:pPr>
  </w:style>
  <w:style w:type="paragraph" w:styleId="Rodap">
    <w:name w:val="footer"/>
    <w:basedOn w:val="Normal"/>
    <w:rsid w:val="006E593A"/>
    <w:pPr>
      <w:tabs>
        <w:tab w:val="center" w:pos="4419"/>
        <w:tab w:val="right" w:pos="8838"/>
      </w:tabs>
    </w:pPr>
  </w:style>
  <w:style w:type="paragraph" w:styleId="Recuodecorpodetexto">
    <w:name w:val="Body Text Indent"/>
    <w:basedOn w:val="Normal"/>
    <w:rsid w:val="006E593A"/>
    <w:pPr>
      <w:ind w:firstLine="708"/>
      <w:jc w:val="both"/>
    </w:pPr>
  </w:style>
  <w:style w:type="paragraph" w:customStyle="1" w:styleId="Recuodecorpodetexto21">
    <w:name w:val="Recuo de corpo de texto 21"/>
    <w:basedOn w:val="Normal"/>
    <w:rsid w:val="006E593A"/>
    <w:pPr>
      <w:ind w:firstLine="1702"/>
      <w:jc w:val="both"/>
    </w:pPr>
    <w:rPr>
      <w:i/>
      <w:iCs/>
    </w:rPr>
  </w:style>
  <w:style w:type="paragraph" w:styleId="PargrafodaLista">
    <w:name w:val="List Paragraph"/>
    <w:basedOn w:val="Normal"/>
    <w:qFormat/>
    <w:rsid w:val="006E593A"/>
    <w:pPr>
      <w:ind w:left="708"/>
    </w:pPr>
  </w:style>
  <w:style w:type="paragraph" w:styleId="Textodebalo">
    <w:name w:val="Balloon Text"/>
    <w:basedOn w:val="Normal"/>
    <w:rsid w:val="006E593A"/>
    <w:rPr>
      <w:rFonts w:ascii="Tahoma" w:hAnsi="Tahoma" w:cs="Tahoma"/>
      <w:sz w:val="16"/>
      <w:szCs w:val="16"/>
    </w:rPr>
  </w:style>
  <w:style w:type="paragraph" w:customStyle="1" w:styleId="Contedodatabela">
    <w:name w:val="Conteúdo da tabela"/>
    <w:basedOn w:val="Normal"/>
    <w:rsid w:val="006E593A"/>
    <w:pPr>
      <w:suppressLineNumbers/>
    </w:pPr>
  </w:style>
  <w:style w:type="paragraph" w:customStyle="1" w:styleId="Ttulodetabela">
    <w:name w:val="Título de tabela"/>
    <w:basedOn w:val="Contedodatabela"/>
    <w:rsid w:val="006E593A"/>
    <w:pPr>
      <w:jc w:val="center"/>
    </w:pPr>
    <w:rPr>
      <w:b/>
      <w:bCs/>
    </w:rPr>
  </w:style>
  <w:style w:type="paragraph" w:styleId="NormalWeb">
    <w:name w:val="Normal (Web)"/>
    <w:basedOn w:val="Normal"/>
    <w:uiPriority w:val="99"/>
    <w:semiHidden/>
    <w:unhideWhenUsed/>
    <w:rsid w:val="00713C0B"/>
    <w:pPr>
      <w:suppressAutoHyphens w:val="0"/>
      <w:spacing w:before="100" w:beforeAutospacing="1" w:after="100" w:afterAutospacing="1"/>
    </w:pPr>
    <w:rPr>
      <w:szCs w:val="24"/>
      <w:lang w:eastAsia="pt-BR"/>
    </w:rPr>
  </w:style>
</w:styles>
</file>

<file path=word/webSettings.xml><?xml version="1.0" encoding="utf-8"?>
<w:webSettings xmlns:r="http://schemas.openxmlformats.org/officeDocument/2006/relationships" xmlns:w="http://schemas.openxmlformats.org/wordprocessingml/2006/main">
  <w:divs>
    <w:div w:id="150735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JRS\Modelos\BRAZ&#195;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BRAZÃO</Template>
  <TotalTime>11</TotalTime>
  <Pages>13</Pages>
  <Words>3505</Words>
  <Characters>18927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22388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AA</dc:creator>
  <cp:keywords>Ethan</cp:keywords>
  <cp:lastModifiedBy>Lucianaheckert</cp:lastModifiedBy>
  <cp:revision>3</cp:revision>
  <cp:lastPrinted>2020-09-28T18:23:00Z</cp:lastPrinted>
  <dcterms:created xsi:type="dcterms:W3CDTF">2020-10-07T12:52:00Z</dcterms:created>
  <dcterms:modified xsi:type="dcterms:W3CDTF">2020-10-16T18:51:00Z</dcterms:modified>
</cp:coreProperties>
</file>